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04756" w14:textId="696FA4C5" w:rsidR="00221776" w:rsidRPr="00333F6B" w:rsidRDefault="00221776" w:rsidP="00221776">
      <w:pPr>
        <w:jc w:val="center"/>
        <w:rPr>
          <w:b/>
          <w:sz w:val="40"/>
          <w:szCs w:val="40"/>
        </w:rPr>
      </w:pPr>
      <w:r w:rsidRPr="00333F6B">
        <w:rPr>
          <w:b/>
          <w:sz w:val="40"/>
          <w:szCs w:val="40"/>
        </w:rPr>
        <w:t>Unit Competence Scheme and Continuation Training Checklist</w:t>
      </w:r>
    </w:p>
    <w:p w14:paraId="0378888A" w14:textId="77777777" w:rsidR="00221776" w:rsidRPr="00333F6B" w:rsidRDefault="00221776" w:rsidP="00221776"/>
    <w:tbl>
      <w:tblPr>
        <w:tblStyle w:val="TableGrid"/>
        <w:tblW w:w="0" w:type="auto"/>
        <w:tblLook w:val="04A0" w:firstRow="1" w:lastRow="0" w:firstColumn="1" w:lastColumn="0" w:noHBand="0" w:noVBand="1"/>
      </w:tblPr>
      <w:tblGrid>
        <w:gridCol w:w="4248"/>
        <w:gridCol w:w="2410"/>
        <w:gridCol w:w="2268"/>
        <w:gridCol w:w="5035"/>
      </w:tblGrid>
      <w:tr w:rsidR="00221776" w:rsidRPr="00333F6B" w14:paraId="1B27DB27" w14:textId="77777777" w:rsidTr="0016430A">
        <w:tc>
          <w:tcPr>
            <w:tcW w:w="13961" w:type="dxa"/>
            <w:gridSpan w:val="4"/>
            <w:shd w:val="clear" w:color="auto" w:fill="D5DCE4" w:themeFill="text2" w:themeFillTint="33"/>
          </w:tcPr>
          <w:p w14:paraId="421AD9F1" w14:textId="77777777" w:rsidR="00221776" w:rsidRPr="00333F6B" w:rsidRDefault="00221776" w:rsidP="00C27B08">
            <w:pPr>
              <w:pStyle w:val="TableHeader"/>
            </w:pPr>
            <w:r w:rsidRPr="00333F6B">
              <w:t>UNIT COMPETENCE SCHEME, REFRESHER and CONVERSION TRAINING CHECKLIST</w:t>
            </w:r>
          </w:p>
        </w:tc>
      </w:tr>
      <w:tr w:rsidR="00221776" w:rsidRPr="00333F6B" w14:paraId="41F71A27" w14:textId="77777777" w:rsidTr="0016430A">
        <w:trPr>
          <w:trHeight w:val="567"/>
        </w:trPr>
        <w:tc>
          <w:tcPr>
            <w:tcW w:w="4248" w:type="dxa"/>
            <w:shd w:val="clear" w:color="auto" w:fill="D9D9D9" w:themeFill="background1" w:themeFillShade="D9"/>
          </w:tcPr>
          <w:p w14:paraId="630F3085" w14:textId="77777777" w:rsidR="00221776" w:rsidRPr="00333F6B" w:rsidRDefault="00221776" w:rsidP="00C27B08">
            <w:pPr>
              <w:pStyle w:val="Table"/>
            </w:pPr>
            <w:r w:rsidRPr="00333F6B">
              <w:t>DATE COMPLETED</w:t>
            </w:r>
          </w:p>
        </w:tc>
        <w:tc>
          <w:tcPr>
            <w:tcW w:w="2410" w:type="dxa"/>
          </w:tcPr>
          <w:p w14:paraId="58C557D9" w14:textId="77777777" w:rsidR="00221776" w:rsidRPr="00333F6B" w:rsidRDefault="00221776" w:rsidP="00C27B08">
            <w:pPr>
              <w:pStyle w:val="Table"/>
            </w:pPr>
          </w:p>
        </w:tc>
        <w:tc>
          <w:tcPr>
            <w:tcW w:w="2268" w:type="dxa"/>
            <w:shd w:val="clear" w:color="auto" w:fill="D9D9D9" w:themeFill="background1" w:themeFillShade="D9"/>
          </w:tcPr>
          <w:p w14:paraId="25C81180" w14:textId="77777777" w:rsidR="00221776" w:rsidRPr="00333F6B" w:rsidRDefault="00221776" w:rsidP="00C27B08">
            <w:pPr>
              <w:pStyle w:val="Table"/>
            </w:pPr>
            <w:r w:rsidRPr="00333F6B">
              <w:t>COMPLETED BY</w:t>
            </w:r>
          </w:p>
        </w:tc>
        <w:tc>
          <w:tcPr>
            <w:tcW w:w="5035" w:type="dxa"/>
          </w:tcPr>
          <w:p w14:paraId="07542409" w14:textId="77777777" w:rsidR="00221776" w:rsidRPr="00333F6B" w:rsidRDefault="00221776" w:rsidP="00C27B08">
            <w:pPr>
              <w:pStyle w:val="Table"/>
            </w:pPr>
          </w:p>
        </w:tc>
      </w:tr>
    </w:tbl>
    <w:p w14:paraId="3FB31C71" w14:textId="77777777" w:rsidR="00221776" w:rsidRPr="00333F6B" w:rsidRDefault="00221776" w:rsidP="00221776">
      <w:pPr>
        <w:rPr>
          <w:rFonts w:asciiTheme="minorHAnsi" w:hAnsiTheme="minorHAnsi"/>
          <w:sz w:val="24"/>
          <w:szCs w:val="24"/>
        </w:rPr>
      </w:pPr>
    </w:p>
    <w:tbl>
      <w:tblPr>
        <w:tblStyle w:val="TableGrid"/>
        <w:tblW w:w="0" w:type="auto"/>
        <w:tblLook w:val="04A0" w:firstRow="1" w:lastRow="0" w:firstColumn="1" w:lastColumn="0" w:noHBand="0" w:noVBand="1"/>
      </w:tblPr>
      <w:tblGrid>
        <w:gridCol w:w="13961"/>
      </w:tblGrid>
      <w:tr w:rsidR="00221776" w:rsidRPr="00333F6B" w14:paraId="00C7857E" w14:textId="77777777" w:rsidTr="0016430A">
        <w:tc>
          <w:tcPr>
            <w:tcW w:w="13961" w:type="dxa"/>
            <w:shd w:val="clear" w:color="auto" w:fill="D9D9D9" w:themeFill="background1" w:themeFillShade="D9"/>
          </w:tcPr>
          <w:p w14:paraId="5556DF76" w14:textId="77777777" w:rsidR="00221776" w:rsidRPr="00333F6B" w:rsidRDefault="00221776" w:rsidP="00C27B08">
            <w:pPr>
              <w:pStyle w:val="TableHeader"/>
              <w:jc w:val="left"/>
            </w:pPr>
            <w:r w:rsidRPr="00333F6B">
              <w:t>NAME OF TRAINING ORGANISATION</w:t>
            </w:r>
          </w:p>
        </w:tc>
      </w:tr>
      <w:tr w:rsidR="00221776" w:rsidRPr="00333F6B" w14:paraId="48DC8A10" w14:textId="77777777" w:rsidTr="0016430A">
        <w:trPr>
          <w:trHeight w:val="567"/>
        </w:trPr>
        <w:tc>
          <w:tcPr>
            <w:tcW w:w="13961" w:type="dxa"/>
          </w:tcPr>
          <w:p w14:paraId="0158DB2A" w14:textId="77777777" w:rsidR="00221776" w:rsidRPr="00333F6B" w:rsidRDefault="00221776" w:rsidP="00C27B08">
            <w:pPr>
              <w:pStyle w:val="Table"/>
            </w:pPr>
          </w:p>
        </w:tc>
      </w:tr>
    </w:tbl>
    <w:p w14:paraId="4FA968CE" w14:textId="77777777" w:rsidR="00221776" w:rsidRPr="00333F6B" w:rsidRDefault="00221776" w:rsidP="00221776">
      <w:pPr>
        <w:rPr>
          <w:rFonts w:asciiTheme="minorHAnsi" w:hAnsiTheme="minorHAnsi"/>
          <w:sz w:val="24"/>
          <w:szCs w:val="24"/>
        </w:rPr>
      </w:pPr>
    </w:p>
    <w:tbl>
      <w:tblPr>
        <w:tblStyle w:val="TableGrid"/>
        <w:tblW w:w="0" w:type="auto"/>
        <w:tblLook w:val="04A0" w:firstRow="1" w:lastRow="0" w:firstColumn="1" w:lastColumn="0" w:noHBand="0" w:noVBand="1"/>
      </w:tblPr>
      <w:tblGrid>
        <w:gridCol w:w="13961"/>
      </w:tblGrid>
      <w:tr w:rsidR="00221776" w:rsidRPr="00333F6B" w14:paraId="2D56FC31" w14:textId="77777777" w:rsidTr="0016430A">
        <w:tc>
          <w:tcPr>
            <w:tcW w:w="13961" w:type="dxa"/>
            <w:shd w:val="clear" w:color="auto" w:fill="D9D9D9" w:themeFill="background1" w:themeFillShade="D9"/>
          </w:tcPr>
          <w:p w14:paraId="31268206" w14:textId="77777777" w:rsidR="00221776" w:rsidRPr="00333F6B" w:rsidRDefault="00221776" w:rsidP="00C27B08">
            <w:pPr>
              <w:pStyle w:val="TableHeader"/>
              <w:jc w:val="left"/>
            </w:pPr>
            <w:r w:rsidRPr="00333F6B">
              <w:t>DETAILS OF UNIT COMPETENCE SCHEME (ISSUE#, DATE OF ISSUE, AMENDMENT STATE)</w:t>
            </w:r>
          </w:p>
        </w:tc>
      </w:tr>
      <w:tr w:rsidR="00221776" w:rsidRPr="00333F6B" w14:paraId="46698AA1" w14:textId="77777777" w:rsidTr="0016430A">
        <w:trPr>
          <w:trHeight w:val="567"/>
        </w:trPr>
        <w:tc>
          <w:tcPr>
            <w:tcW w:w="13961" w:type="dxa"/>
          </w:tcPr>
          <w:p w14:paraId="7D15BFBC" w14:textId="77777777" w:rsidR="00221776" w:rsidRPr="00333F6B" w:rsidRDefault="00221776" w:rsidP="00C27B08">
            <w:pPr>
              <w:pStyle w:val="Table"/>
            </w:pPr>
          </w:p>
        </w:tc>
      </w:tr>
    </w:tbl>
    <w:p w14:paraId="46C28053" w14:textId="6EBD46E3" w:rsidR="00C356E5" w:rsidRPr="00333F6B" w:rsidRDefault="00C356E5" w:rsidP="00221776">
      <w:pPr>
        <w:rPr>
          <w:rFonts w:asciiTheme="minorHAnsi" w:hAnsiTheme="minorHAnsi"/>
          <w:sz w:val="24"/>
          <w:szCs w:val="24"/>
        </w:rPr>
      </w:pPr>
    </w:p>
    <w:p w14:paraId="699023D3" w14:textId="77777777" w:rsidR="00C356E5" w:rsidRPr="00333F6B" w:rsidRDefault="00C356E5" w:rsidP="00C356E5">
      <w:pPr>
        <w:rPr>
          <w:rFonts w:asciiTheme="minorHAnsi" w:hAnsiTheme="minorHAnsi"/>
          <w:sz w:val="24"/>
          <w:szCs w:val="24"/>
        </w:rPr>
      </w:pPr>
    </w:p>
    <w:p w14:paraId="7F334E42" w14:textId="77777777" w:rsidR="00C356E5" w:rsidRPr="00333F6B" w:rsidRDefault="00C356E5" w:rsidP="00C356E5">
      <w:pPr>
        <w:rPr>
          <w:rFonts w:asciiTheme="minorHAnsi" w:hAnsiTheme="minorHAnsi"/>
          <w:sz w:val="24"/>
          <w:szCs w:val="24"/>
        </w:rPr>
      </w:pPr>
    </w:p>
    <w:p w14:paraId="49882EFA" w14:textId="77777777" w:rsidR="00C356E5" w:rsidRPr="00333F6B" w:rsidRDefault="00C356E5" w:rsidP="00C356E5">
      <w:pPr>
        <w:rPr>
          <w:rFonts w:asciiTheme="minorHAnsi" w:hAnsiTheme="minorHAnsi"/>
          <w:sz w:val="24"/>
          <w:szCs w:val="24"/>
        </w:rPr>
      </w:pPr>
    </w:p>
    <w:p w14:paraId="6E5567E0" w14:textId="087F18A5" w:rsidR="00221776" w:rsidRPr="00333F6B" w:rsidRDefault="00C356E5" w:rsidP="00C356E5">
      <w:pPr>
        <w:tabs>
          <w:tab w:val="left" w:pos="2070"/>
        </w:tabs>
        <w:rPr>
          <w:rFonts w:asciiTheme="minorHAnsi" w:hAnsiTheme="minorHAnsi"/>
          <w:sz w:val="24"/>
          <w:szCs w:val="24"/>
        </w:rPr>
      </w:pPr>
      <w:r w:rsidRPr="00333F6B">
        <w:rPr>
          <w:rFonts w:asciiTheme="minorHAnsi" w:hAnsiTheme="minorHAnsi"/>
          <w:sz w:val="24"/>
          <w:szCs w:val="24"/>
        </w:rPr>
        <w:tab/>
      </w:r>
    </w:p>
    <w:tbl>
      <w:tblPr>
        <w:tblStyle w:val="TableGrid"/>
        <w:tblpPr w:leftFromText="180" w:rightFromText="180" w:vertAnchor="text" w:horzAnchor="margin" w:tblpY="181"/>
        <w:tblW w:w="0" w:type="auto"/>
        <w:tblLook w:val="04A0" w:firstRow="1" w:lastRow="0" w:firstColumn="1" w:lastColumn="0" w:noHBand="0" w:noVBand="1"/>
      </w:tblPr>
      <w:tblGrid>
        <w:gridCol w:w="2497"/>
        <w:gridCol w:w="8"/>
        <w:gridCol w:w="4232"/>
        <w:gridCol w:w="2756"/>
        <w:gridCol w:w="711"/>
        <w:gridCol w:w="3760"/>
      </w:tblGrid>
      <w:tr w:rsidR="00221776" w:rsidRPr="00333F6B" w14:paraId="5B100B36" w14:textId="77777777" w:rsidTr="00C27B08">
        <w:tc>
          <w:tcPr>
            <w:tcW w:w="13964" w:type="dxa"/>
            <w:gridSpan w:val="6"/>
            <w:shd w:val="clear" w:color="auto" w:fill="D5DCE4" w:themeFill="text2" w:themeFillTint="33"/>
          </w:tcPr>
          <w:p w14:paraId="2EC1C785" w14:textId="77777777" w:rsidR="00221776" w:rsidRPr="00333F6B" w:rsidRDefault="00221776" w:rsidP="00C27B08">
            <w:pPr>
              <w:pStyle w:val="TableHeader"/>
              <w:jc w:val="left"/>
            </w:pPr>
            <w:r w:rsidRPr="00333F6B">
              <w:lastRenderedPageBreak/>
              <w:t>Unit Competency Scheme Checklist</w:t>
            </w:r>
          </w:p>
        </w:tc>
      </w:tr>
      <w:tr w:rsidR="00221776" w:rsidRPr="00333F6B" w14:paraId="7D28B6A6" w14:textId="77777777" w:rsidTr="00C27B08">
        <w:tc>
          <w:tcPr>
            <w:tcW w:w="2505" w:type="dxa"/>
            <w:gridSpan w:val="2"/>
            <w:shd w:val="clear" w:color="auto" w:fill="D9D9D9" w:themeFill="background1" w:themeFillShade="D9"/>
          </w:tcPr>
          <w:p w14:paraId="118B04EA" w14:textId="77777777" w:rsidR="00221776" w:rsidRPr="00333F6B" w:rsidRDefault="00221776" w:rsidP="00C27B08">
            <w:pPr>
              <w:pStyle w:val="TableHeader"/>
            </w:pPr>
            <w:r w:rsidRPr="00333F6B">
              <w:t>Required Content</w:t>
            </w:r>
          </w:p>
        </w:tc>
        <w:tc>
          <w:tcPr>
            <w:tcW w:w="4232" w:type="dxa"/>
            <w:shd w:val="clear" w:color="auto" w:fill="D9D9D9" w:themeFill="background1" w:themeFillShade="D9"/>
          </w:tcPr>
          <w:p w14:paraId="1D4846DF" w14:textId="77777777" w:rsidR="00221776" w:rsidRPr="00333F6B" w:rsidRDefault="00221776" w:rsidP="00C27B08">
            <w:pPr>
              <w:pStyle w:val="TableHeader"/>
            </w:pPr>
            <w:r w:rsidRPr="00333F6B">
              <w:t>Detailed content</w:t>
            </w:r>
          </w:p>
        </w:tc>
        <w:tc>
          <w:tcPr>
            <w:tcW w:w="2756" w:type="dxa"/>
            <w:shd w:val="clear" w:color="auto" w:fill="D9D9D9" w:themeFill="background1" w:themeFillShade="D9"/>
          </w:tcPr>
          <w:p w14:paraId="78D3A5E3" w14:textId="77777777" w:rsidR="00221776" w:rsidRPr="00333F6B" w:rsidRDefault="00221776" w:rsidP="00C27B08">
            <w:pPr>
              <w:pStyle w:val="TableHeader"/>
            </w:pPr>
            <w:r w:rsidRPr="00333F6B">
              <w:t>Question</w:t>
            </w:r>
          </w:p>
        </w:tc>
        <w:tc>
          <w:tcPr>
            <w:tcW w:w="711" w:type="dxa"/>
            <w:shd w:val="clear" w:color="auto" w:fill="D9D9D9" w:themeFill="background1" w:themeFillShade="D9"/>
          </w:tcPr>
          <w:p w14:paraId="6A8FDD3D" w14:textId="77777777" w:rsidR="00221776" w:rsidRPr="00333F6B" w:rsidRDefault="00221776" w:rsidP="00C27B08">
            <w:pPr>
              <w:pStyle w:val="TableHeader"/>
            </w:pPr>
            <w:r w:rsidRPr="00333F6B">
              <w:t>Y/N</w:t>
            </w:r>
          </w:p>
        </w:tc>
        <w:tc>
          <w:tcPr>
            <w:tcW w:w="3760" w:type="dxa"/>
            <w:shd w:val="clear" w:color="auto" w:fill="D9D9D9" w:themeFill="background1" w:themeFillShade="D9"/>
          </w:tcPr>
          <w:p w14:paraId="2C275D08" w14:textId="77777777" w:rsidR="00221776" w:rsidRPr="00333F6B" w:rsidRDefault="00221776" w:rsidP="00C27B08">
            <w:pPr>
              <w:pStyle w:val="TableHeader"/>
            </w:pPr>
            <w:r w:rsidRPr="00333F6B">
              <w:t>Notes</w:t>
            </w:r>
          </w:p>
        </w:tc>
      </w:tr>
      <w:tr w:rsidR="00221776" w:rsidRPr="00333F6B" w14:paraId="3705E0A8" w14:textId="77777777" w:rsidTr="00C27B08">
        <w:trPr>
          <w:trHeight w:val="1074"/>
        </w:trPr>
        <w:tc>
          <w:tcPr>
            <w:tcW w:w="2505" w:type="dxa"/>
            <w:gridSpan w:val="2"/>
          </w:tcPr>
          <w:p w14:paraId="1DF3E7BB" w14:textId="77777777" w:rsidR="00221776" w:rsidRPr="00333F6B" w:rsidRDefault="00221776" w:rsidP="00C27B08">
            <w:pPr>
              <w:pStyle w:val="Table"/>
            </w:pPr>
            <w:r w:rsidRPr="00333F6B">
              <w:t>ATCO.B.025 (a) (1)</w:t>
            </w:r>
          </w:p>
          <w:p w14:paraId="310DBA4A" w14:textId="77777777" w:rsidR="00221776" w:rsidRPr="00333F6B" w:rsidRDefault="00221776" w:rsidP="00C27B08">
            <w:pPr>
              <w:pStyle w:val="Table"/>
            </w:pPr>
            <w:r w:rsidRPr="00333F6B">
              <w:t>The validity of the unit endorsement in accordance with ATCO.B.020(e)</w:t>
            </w:r>
          </w:p>
        </w:tc>
        <w:tc>
          <w:tcPr>
            <w:tcW w:w="4232" w:type="dxa"/>
          </w:tcPr>
          <w:p w14:paraId="76B07C0D" w14:textId="6A0F7267" w:rsidR="00221776" w:rsidRPr="00333F6B" w:rsidRDefault="00221776" w:rsidP="00C27B08">
            <w:pPr>
              <w:pStyle w:val="Table"/>
              <w:rPr>
                <w:rFonts w:cs="Calibri"/>
              </w:rPr>
            </w:pPr>
            <w:r w:rsidRPr="00333F6B">
              <w:t xml:space="preserve">ATCO.B.020(e). </w:t>
            </w:r>
            <w:r w:rsidRPr="00333F6B">
              <w:rPr>
                <w:rFonts w:cs="Calibri"/>
              </w:rPr>
              <w:t xml:space="preserve">Unit endorsements shall be valid for a period defined in the unit competence scheme. This period shall not exceed three years. </w:t>
            </w:r>
          </w:p>
        </w:tc>
        <w:tc>
          <w:tcPr>
            <w:tcW w:w="2756" w:type="dxa"/>
          </w:tcPr>
          <w:p w14:paraId="6B93F063" w14:textId="77777777" w:rsidR="00221776" w:rsidRPr="00333F6B" w:rsidRDefault="00221776" w:rsidP="00C27B08">
            <w:pPr>
              <w:pStyle w:val="Table"/>
            </w:pPr>
            <w:r w:rsidRPr="00333F6B">
              <w:t>Is the period for the validity of Unit Endorsements defined as 12 Month?</w:t>
            </w:r>
          </w:p>
        </w:tc>
        <w:tc>
          <w:tcPr>
            <w:tcW w:w="711" w:type="dxa"/>
          </w:tcPr>
          <w:p w14:paraId="2579F4F0" w14:textId="77777777" w:rsidR="00221776" w:rsidRPr="00333F6B" w:rsidRDefault="00221776" w:rsidP="00C27B08">
            <w:pPr>
              <w:pStyle w:val="Table"/>
            </w:pPr>
          </w:p>
        </w:tc>
        <w:tc>
          <w:tcPr>
            <w:tcW w:w="3760" w:type="dxa"/>
          </w:tcPr>
          <w:p w14:paraId="52B64F1D" w14:textId="77777777" w:rsidR="00221776" w:rsidRPr="00333F6B" w:rsidRDefault="00221776" w:rsidP="00C27B08">
            <w:pPr>
              <w:pStyle w:val="Table"/>
              <w:rPr>
                <w:rFonts w:eastAsia="Times New Roman" w:cs="Calibri"/>
                <w:lang w:eastAsia="en-GB"/>
              </w:rPr>
            </w:pPr>
            <w:r w:rsidRPr="00333F6B">
              <w:t xml:space="preserve"> </w:t>
            </w:r>
          </w:p>
        </w:tc>
      </w:tr>
      <w:tr w:rsidR="00221776" w:rsidRPr="00333F6B" w14:paraId="539ABEDD" w14:textId="77777777" w:rsidTr="00C27B08">
        <w:tc>
          <w:tcPr>
            <w:tcW w:w="2505" w:type="dxa"/>
            <w:gridSpan w:val="2"/>
          </w:tcPr>
          <w:p w14:paraId="77884DB1" w14:textId="77777777" w:rsidR="00221776" w:rsidRPr="00333F6B" w:rsidRDefault="00221776" w:rsidP="00C27B08">
            <w:pPr>
              <w:pStyle w:val="Table"/>
            </w:pPr>
            <w:r w:rsidRPr="00333F6B">
              <w:t>ATCO.B.025 (a) (2)</w:t>
            </w:r>
          </w:p>
          <w:p w14:paraId="43197623" w14:textId="77777777" w:rsidR="00221776" w:rsidRPr="00333F6B" w:rsidRDefault="00221776" w:rsidP="00C27B08">
            <w:pPr>
              <w:pStyle w:val="Table"/>
            </w:pPr>
            <w:r w:rsidRPr="00333F6B">
              <w:t>The maximum continuous period when the privileges of a unit endorsement are not exercised during its validity</w:t>
            </w:r>
          </w:p>
        </w:tc>
        <w:tc>
          <w:tcPr>
            <w:tcW w:w="4232" w:type="dxa"/>
          </w:tcPr>
          <w:p w14:paraId="42D5F9DA" w14:textId="77777777" w:rsidR="00221776" w:rsidRPr="00333F6B" w:rsidRDefault="00221776" w:rsidP="00C27B08">
            <w:pPr>
              <w:pStyle w:val="Table"/>
            </w:pPr>
            <w:r w:rsidRPr="00333F6B">
              <w:t>This period shall not exceed 90 calendar days.</w:t>
            </w:r>
          </w:p>
        </w:tc>
        <w:tc>
          <w:tcPr>
            <w:tcW w:w="2756" w:type="dxa"/>
          </w:tcPr>
          <w:p w14:paraId="25DEF192" w14:textId="77777777" w:rsidR="00221776" w:rsidRPr="00333F6B" w:rsidRDefault="00221776" w:rsidP="00C27B08">
            <w:pPr>
              <w:pStyle w:val="Table"/>
            </w:pPr>
            <w:r w:rsidRPr="00333F6B">
              <w:t>Is the maximum period set at 90 days or less?</w:t>
            </w:r>
          </w:p>
        </w:tc>
        <w:tc>
          <w:tcPr>
            <w:tcW w:w="711" w:type="dxa"/>
          </w:tcPr>
          <w:p w14:paraId="74E62B8D" w14:textId="77777777" w:rsidR="00221776" w:rsidRPr="00333F6B" w:rsidRDefault="00221776" w:rsidP="00C27B08">
            <w:pPr>
              <w:pStyle w:val="Table"/>
            </w:pPr>
          </w:p>
        </w:tc>
        <w:tc>
          <w:tcPr>
            <w:tcW w:w="3760" w:type="dxa"/>
          </w:tcPr>
          <w:p w14:paraId="3D21C54C" w14:textId="77777777" w:rsidR="00221776" w:rsidRPr="00333F6B" w:rsidRDefault="00221776" w:rsidP="00C27B08">
            <w:pPr>
              <w:pStyle w:val="Table"/>
            </w:pPr>
          </w:p>
        </w:tc>
      </w:tr>
      <w:tr w:rsidR="00221776" w:rsidRPr="00333F6B" w14:paraId="355E3AFA" w14:textId="77777777" w:rsidTr="00C27B08">
        <w:tc>
          <w:tcPr>
            <w:tcW w:w="2505" w:type="dxa"/>
            <w:gridSpan w:val="2"/>
          </w:tcPr>
          <w:p w14:paraId="7298FE59" w14:textId="77777777" w:rsidR="00221776" w:rsidRPr="00333F6B" w:rsidRDefault="00221776" w:rsidP="00C27B08">
            <w:pPr>
              <w:pStyle w:val="Table"/>
            </w:pPr>
            <w:r w:rsidRPr="00333F6B">
              <w:t>ATCO.B.025 (a) (3)</w:t>
            </w:r>
          </w:p>
          <w:p w14:paraId="726282E8" w14:textId="77777777" w:rsidR="00221776" w:rsidRPr="00333F6B" w:rsidRDefault="00221776" w:rsidP="00C27B08">
            <w:pPr>
              <w:pStyle w:val="Table"/>
            </w:pPr>
            <w:r w:rsidRPr="00333F6B">
              <w:t>The minimum number of hours for exercising the privileges of the unit endorsement within</w:t>
            </w:r>
          </w:p>
          <w:p w14:paraId="4844F1BF" w14:textId="77777777" w:rsidR="00221776" w:rsidRPr="00333F6B" w:rsidRDefault="00221776" w:rsidP="00C27B08">
            <w:pPr>
              <w:pStyle w:val="Table"/>
            </w:pPr>
            <w:r w:rsidRPr="00333F6B">
              <w:t xml:space="preserve">a defined period of time, which shall not exceed 12 months, </w:t>
            </w:r>
            <w:r w:rsidRPr="00333F6B">
              <w:lastRenderedPageBreak/>
              <w:t>for the purpose of ATCO.B.020(g)</w:t>
            </w:r>
          </w:p>
        </w:tc>
        <w:tc>
          <w:tcPr>
            <w:tcW w:w="4232" w:type="dxa"/>
          </w:tcPr>
          <w:p w14:paraId="17FB02C8" w14:textId="77777777" w:rsidR="00221776" w:rsidRPr="00333F6B" w:rsidRDefault="00221776" w:rsidP="00C27B08">
            <w:pPr>
              <w:pStyle w:val="Table"/>
            </w:pPr>
            <w:r w:rsidRPr="00333F6B">
              <w:lastRenderedPageBreak/>
              <w:t>ATCO.B.020(g)</w:t>
            </w:r>
          </w:p>
          <w:p w14:paraId="13A676B2" w14:textId="77777777" w:rsidR="00221776" w:rsidRPr="00333F6B" w:rsidRDefault="00221776" w:rsidP="00C27B08">
            <w:pPr>
              <w:pStyle w:val="Table"/>
            </w:pPr>
            <w:r w:rsidRPr="00333F6B">
              <w:t>Unit endorsements shall be revalidated if:</w:t>
            </w:r>
          </w:p>
          <w:p w14:paraId="74243B71" w14:textId="77777777" w:rsidR="00221776" w:rsidRPr="00333F6B" w:rsidRDefault="00221776" w:rsidP="00C27B08">
            <w:pPr>
              <w:pStyle w:val="Table"/>
            </w:pPr>
            <w:r w:rsidRPr="00333F6B">
              <w:t>The applicant has been exercising the privileges of the licence for a minimum number of hours as defined in the unit competence scheme.</w:t>
            </w:r>
          </w:p>
          <w:p w14:paraId="2D094168" w14:textId="77777777" w:rsidR="00221776" w:rsidRPr="00333F6B" w:rsidRDefault="00221776" w:rsidP="00C27B08">
            <w:pPr>
              <w:pStyle w:val="Table"/>
            </w:pPr>
          </w:p>
          <w:p w14:paraId="571F0739" w14:textId="77777777" w:rsidR="00221776" w:rsidRPr="00333F6B" w:rsidRDefault="00221776" w:rsidP="00C27B08">
            <w:pPr>
              <w:pStyle w:val="Table"/>
            </w:pPr>
            <w:r w:rsidRPr="00333F6B">
              <w:t>In addition:</w:t>
            </w:r>
          </w:p>
          <w:p w14:paraId="5C650ABE" w14:textId="3508CC8A" w:rsidR="00221776" w:rsidRPr="00333F6B" w:rsidRDefault="00221776" w:rsidP="00C27B08">
            <w:pPr>
              <w:pStyle w:val="Table"/>
            </w:pPr>
            <w:r w:rsidRPr="00333F6B">
              <w:lastRenderedPageBreak/>
              <w:t xml:space="preserve">To comply with this requirement records are to be kept of the hours, during which each licence holder exercises the privileges of his/her unit endorsement working in sectors, group of sectors and/or working positions in the ATC unit and shall provide that data to </w:t>
            </w:r>
            <w:r w:rsidR="008C7984" w:rsidRPr="00333F6B">
              <w:t>CAAT</w:t>
            </w:r>
            <w:r w:rsidRPr="00333F6B">
              <w:t xml:space="preserve"> and to the licence holder upon request.</w:t>
            </w:r>
          </w:p>
          <w:p w14:paraId="2B5A1096" w14:textId="77777777" w:rsidR="00221776" w:rsidRPr="00333F6B" w:rsidRDefault="00221776" w:rsidP="00C27B08">
            <w:pPr>
              <w:pStyle w:val="Table"/>
            </w:pPr>
          </w:p>
        </w:tc>
        <w:tc>
          <w:tcPr>
            <w:tcW w:w="2756" w:type="dxa"/>
          </w:tcPr>
          <w:p w14:paraId="393B241B" w14:textId="77777777" w:rsidR="00221776" w:rsidRPr="00333F6B" w:rsidRDefault="00221776" w:rsidP="00C27B08">
            <w:pPr>
              <w:pStyle w:val="Table"/>
            </w:pPr>
            <w:r w:rsidRPr="00333F6B">
              <w:lastRenderedPageBreak/>
              <w:t>Is the minimum number of hours for exercising the privileges of unit endorsements defined and is that minimum number of hours set within a 12 months period or less?</w:t>
            </w:r>
          </w:p>
          <w:p w14:paraId="2CE502F1" w14:textId="77777777" w:rsidR="00221776" w:rsidRPr="00333F6B" w:rsidRDefault="00221776" w:rsidP="00C27B08">
            <w:pPr>
              <w:pStyle w:val="Table"/>
            </w:pPr>
          </w:p>
          <w:p w14:paraId="68AE96F0" w14:textId="77777777" w:rsidR="00221776" w:rsidRPr="00333F6B" w:rsidRDefault="00221776" w:rsidP="00C27B08">
            <w:pPr>
              <w:pStyle w:val="Table"/>
            </w:pPr>
            <w:r w:rsidRPr="00333F6B">
              <w:lastRenderedPageBreak/>
              <w:t>Are adequate records kept? Note: this does not have to be detailed within the UCS, however; such records must be maintained.</w:t>
            </w:r>
          </w:p>
        </w:tc>
        <w:tc>
          <w:tcPr>
            <w:tcW w:w="711" w:type="dxa"/>
          </w:tcPr>
          <w:p w14:paraId="0CE168A8" w14:textId="77777777" w:rsidR="00221776" w:rsidRPr="00333F6B" w:rsidRDefault="00221776" w:rsidP="00C27B08">
            <w:pPr>
              <w:pStyle w:val="Table"/>
            </w:pPr>
          </w:p>
        </w:tc>
        <w:tc>
          <w:tcPr>
            <w:tcW w:w="3760" w:type="dxa"/>
          </w:tcPr>
          <w:p w14:paraId="3E78A4FC" w14:textId="77777777" w:rsidR="00221776" w:rsidRPr="00333F6B" w:rsidRDefault="00221776" w:rsidP="00C27B08">
            <w:pPr>
              <w:pStyle w:val="Table"/>
            </w:pPr>
          </w:p>
        </w:tc>
      </w:tr>
      <w:tr w:rsidR="00221776" w:rsidRPr="00333F6B" w14:paraId="0346F6AD" w14:textId="77777777" w:rsidTr="00C27B08">
        <w:tc>
          <w:tcPr>
            <w:tcW w:w="2497" w:type="dxa"/>
          </w:tcPr>
          <w:p w14:paraId="25AAB327" w14:textId="77777777" w:rsidR="00221776" w:rsidRPr="00333F6B" w:rsidRDefault="00221776" w:rsidP="00852CC6">
            <w:pPr>
              <w:jc w:val="left"/>
              <w:rPr>
                <w:rFonts w:asciiTheme="minorHAnsi" w:hAnsiTheme="minorHAnsi"/>
                <w:sz w:val="24"/>
                <w:szCs w:val="24"/>
              </w:rPr>
            </w:pPr>
            <w:r w:rsidRPr="00333F6B">
              <w:rPr>
                <w:rFonts w:asciiTheme="minorHAnsi" w:hAnsiTheme="minorHAnsi"/>
                <w:sz w:val="24"/>
                <w:szCs w:val="24"/>
              </w:rPr>
              <w:t>ATCO.B.025 (a) (3)</w:t>
            </w:r>
          </w:p>
          <w:p w14:paraId="5BCDA647" w14:textId="0F8486C9" w:rsidR="00221776" w:rsidRPr="00333F6B" w:rsidRDefault="00221776" w:rsidP="00852CC6">
            <w:pPr>
              <w:jc w:val="left"/>
              <w:rPr>
                <w:rFonts w:asciiTheme="minorHAnsi" w:hAnsiTheme="minorHAnsi"/>
                <w:sz w:val="24"/>
                <w:szCs w:val="24"/>
              </w:rPr>
            </w:pPr>
            <w:r w:rsidRPr="00333F6B">
              <w:rPr>
                <w:rFonts w:asciiTheme="minorHAnsi" w:hAnsiTheme="minorHAnsi"/>
                <w:sz w:val="24"/>
                <w:szCs w:val="24"/>
              </w:rPr>
              <w:t>For on-the-job training instructors exercising the privileges of the OJTI</w:t>
            </w:r>
            <w:r w:rsidR="00852CC6" w:rsidRPr="00333F6B">
              <w:rPr>
                <w:rFonts w:asciiTheme="minorHAnsi" w:hAnsiTheme="minorHAnsi"/>
                <w:sz w:val="24"/>
                <w:szCs w:val="24"/>
              </w:rPr>
              <w:t xml:space="preserve"> </w:t>
            </w:r>
            <w:r w:rsidRPr="00333F6B">
              <w:rPr>
                <w:rFonts w:asciiTheme="minorHAnsi" w:hAnsiTheme="minorHAnsi"/>
                <w:sz w:val="24"/>
                <w:szCs w:val="24"/>
              </w:rPr>
              <w:t>endorsement the time spent instructing shall be counted for the maximum of 50 % of the hours required for revalidation of the unit endorsement</w:t>
            </w:r>
          </w:p>
        </w:tc>
        <w:tc>
          <w:tcPr>
            <w:tcW w:w="4240" w:type="dxa"/>
            <w:gridSpan w:val="2"/>
          </w:tcPr>
          <w:p w14:paraId="7B70E567" w14:textId="77777777" w:rsidR="00221776" w:rsidRPr="00333F6B" w:rsidRDefault="00221776" w:rsidP="00852CC6">
            <w:pPr>
              <w:jc w:val="left"/>
              <w:rPr>
                <w:rFonts w:asciiTheme="minorHAnsi" w:hAnsiTheme="minorHAnsi"/>
                <w:sz w:val="24"/>
                <w:szCs w:val="24"/>
              </w:rPr>
            </w:pPr>
            <w:r w:rsidRPr="00333F6B">
              <w:rPr>
                <w:rFonts w:asciiTheme="minorHAnsi" w:hAnsiTheme="minorHAnsi"/>
                <w:sz w:val="24"/>
                <w:szCs w:val="24"/>
              </w:rPr>
              <w:t>For an OJTIs to maintain their unit endorsement, up to 50% the minimum number of hours required for exercising the privileges of their endorsement can be counted from the time spent instructing in the relevant rating endorsement.</w:t>
            </w:r>
          </w:p>
        </w:tc>
        <w:tc>
          <w:tcPr>
            <w:tcW w:w="2756" w:type="dxa"/>
          </w:tcPr>
          <w:p w14:paraId="351DAB09" w14:textId="77777777" w:rsidR="00221776" w:rsidRPr="00333F6B" w:rsidRDefault="00221776" w:rsidP="00852CC6">
            <w:pPr>
              <w:jc w:val="left"/>
              <w:rPr>
                <w:rFonts w:asciiTheme="minorHAnsi" w:hAnsiTheme="minorHAnsi"/>
                <w:sz w:val="24"/>
                <w:szCs w:val="24"/>
              </w:rPr>
            </w:pPr>
            <w:r w:rsidRPr="00333F6B">
              <w:rPr>
                <w:rFonts w:asciiTheme="minorHAnsi" w:hAnsiTheme="minorHAnsi"/>
                <w:sz w:val="24"/>
                <w:szCs w:val="24"/>
              </w:rPr>
              <w:t>Is this requirement documented in the UCS?</w:t>
            </w:r>
          </w:p>
        </w:tc>
        <w:tc>
          <w:tcPr>
            <w:tcW w:w="711" w:type="dxa"/>
          </w:tcPr>
          <w:p w14:paraId="4E37539B" w14:textId="77777777" w:rsidR="00221776" w:rsidRPr="00333F6B" w:rsidRDefault="00221776" w:rsidP="0016430A">
            <w:pPr>
              <w:rPr>
                <w:rFonts w:asciiTheme="minorHAnsi" w:hAnsiTheme="minorHAnsi"/>
                <w:sz w:val="24"/>
                <w:szCs w:val="24"/>
              </w:rPr>
            </w:pPr>
          </w:p>
        </w:tc>
        <w:tc>
          <w:tcPr>
            <w:tcW w:w="3760" w:type="dxa"/>
          </w:tcPr>
          <w:p w14:paraId="3B8F4B42" w14:textId="77777777" w:rsidR="00221776" w:rsidRPr="00333F6B" w:rsidRDefault="00221776" w:rsidP="0016430A">
            <w:pPr>
              <w:rPr>
                <w:rFonts w:asciiTheme="minorHAnsi" w:hAnsiTheme="minorHAnsi"/>
                <w:sz w:val="24"/>
                <w:szCs w:val="24"/>
              </w:rPr>
            </w:pPr>
          </w:p>
        </w:tc>
      </w:tr>
      <w:tr w:rsidR="00221776" w:rsidRPr="00333F6B" w14:paraId="6AA6A2F1" w14:textId="77777777" w:rsidTr="00C27B08">
        <w:tc>
          <w:tcPr>
            <w:tcW w:w="2497" w:type="dxa"/>
          </w:tcPr>
          <w:p w14:paraId="5471FA34" w14:textId="77777777" w:rsidR="00221776" w:rsidRPr="00333F6B" w:rsidRDefault="00221776" w:rsidP="00C27B08">
            <w:pPr>
              <w:pStyle w:val="Table"/>
            </w:pPr>
            <w:r w:rsidRPr="00333F6B">
              <w:t>ATCO.B.025 (a) (4)</w:t>
            </w:r>
          </w:p>
          <w:p w14:paraId="33986EF1" w14:textId="77777777" w:rsidR="00221776" w:rsidRPr="00333F6B" w:rsidRDefault="00221776" w:rsidP="00C27B08">
            <w:pPr>
              <w:pStyle w:val="Table"/>
            </w:pPr>
            <w:r w:rsidRPr="00333F6B">
              <w:t xml:space="preserve">Procedures for the cases where the licence holder does </w:t>
            </w:r>
            <w:r w:rsidRPr="00333F6B">
              <w:lastRenderedPageBreak/>
              <w:t>not meet the requirements set out in point (a)(2) and (3) of ATCO.B.025</w:t>
            </w:r>
          </w:p>
        </w:tc>
        <w:tc>
          <w:tcPr>
            <w:tcW w:w="4240" w:type="dxa"/>
            <w:gridSpan w:val="2"/>
          </w:tcPr>
          <w:p w14:paraId="79E4DA0E" w14:textId="77777777" w:rsidR="00221776" w:rsidRPr="00333F6B" w:rsidRDefault="00221776" w:rsidP="00C27B08">
            <w:pPr>
              <w:pStyle w:val="Table"/>
              <w:rPr>
                <w:rFonts w:cs="Calibri"/>
              </w:rPr>
            </w:pPr>
            <w:r w:rsidRPr="00333F6B">
              <w:lastRenderedPageBreak/>
              <w:t>ATCO.B.025</w:t>
            </w:r>
            <w:r w:rsidRPr="00333F6B">
              <w:rPr>
                <w:rFonts w:cs="Calibri"/>
              </w:rPr>
              <w:t xml:space="preserve"> </w:t>
            </w:r>
          </w:p>
          <w:p w14:paraId="5B8E485D" w14:textId="3E626525" w:rsidR="00221776" w:rsidRPr="00333F6B" w:rsidRDefault="00221776" w:rsidP="00C27B08">
            <w:pPr>
              <w:pStyle w:val="Table"/>
            </w:pPr>
            <w:r w:rsidRPr="00333F6B">
              <w:t xml:space="preserve">(2) the maximum continuous period when the privileges of a unit endorsement are not exercised during </w:t>
            </w:r>
            <w:r w:rsidRPr="00333F6B">
              <w:lastRenderedPageBreak/>
              <w:t xml:space="preserve">its validity. This period shall not exceed </w:t>
            </w:r>
            <w:r w:rsidR="00C356E5" w:rsidRPr="00333F6B">
              <w:t>18</w:t>
            </w:r>
            <w:r w:rsidRPr="00333F6B">
              <w:t>0 calendar days;</w:t>
            </w:r>
          </w:p>
          <w:p w14:paraId="7C7B0C98" w14:textId="6472DF7B" w:rsidR="00221776" w:rsidRPr="00333F6B" w:rsidRDefault="00221776" w:rsidP="00C27B08">
            <w:pPr>
              <w:pStyle w:val="Table"/>
            </w:pPr>
            <w:r w:rsidRPr="00333F6B">
              <w:t xml:space="preserve">(3) </w:t>
            </w:r>
            <w:r w:rsidR="004B5547" w:rsidRPr="00333F6B">
              <w:t xml:space="preserve">the minimum number of hours for exercising the privileges of the unit endorsement shall not less than 12 hours on operational working positions or </w:t>
            </w:r>
            <w:r w:rsidR="004B5547" w:rsidRPr="00333F6B">
              <w:rPr>
                <w:rFonts w:cstheme="minorBidi"/>
                <w:szCs w:val="28"/>
              </w:rPr>
              <w:t>18 hours in synthetic training device</w:t>
            </w:r>
            <w:r w:rsidR="004B5547" w:rsidRPr="00333F6B">
              <w:t xml:space="preserve"> within 180 calendar days.</w:t>
            </w:r>
          </w:p>
        </w:tc>
        <w:tc>
          <w:tcPr>
            <w:tcW w:w="2756" w:type="dxa"/>
          </w:tcPr>
          <w:p w14:paraId="179F2A3E" w14:textId="77777777" w:rsidR="00221776" w:rsidRPr="00333F6B" w:rsidRDefault="00221776" w:rsidP="00C27B08">
            <w:pPr>
              <w:pStyle w:val="Table"/>
            </w:pPr>
            <w:r w:rsidRPr="00333F6B">
              <w:lastRenderedPageBreak/>
              <w:t xml:space="preserve">Does the UCS detail a process for managing ATCOs who have been unable to meet the required minimum </w:t>
            </w:r>
            <w:r w:rsidRPr="00333F6B">
              <w:lastRenderedPageBreak/>
              <w:t>number of hours to maintain their unit endorsement(s)?</w:t>
            </w:r>
          </w:p>
        </w:tc>
        <w:tc>
          <w:tcPr>
            <w:tcW w:w="711" w:type="dxa"/>
          </w:tcPr>
          <w:p w14:paraId="50244C49" w14:textId="77777777" w:rsidR="00221776" w:rsidRPr="00333F6B" w:rsidRDefault="00221776" w:rsidP="0016430A">
            <w:pPr>
              <w:rPr>
                <w:rFonts w:asciiTheme="minorHAnsi" w:hAnsiTheme="minorHAnsi"/>
                <w:sz w:val="24"/>
                <w:szCs w:val="24"/>
              </w:rPr>
            </w:pPr>
          </w:p>
        </w:tc>
        <w:tc>
          <w:tcPr>
            <w:tcW w:w="3760" w:type="dxa"/>
          </w:tcPr>
          <w:p w14:paraId="1B8F7C77" w14:textId="77777777" w:rsidR="00221776" w:rsidRPr="00333F6B" w:rsidRDefault="00221776" w:rsidP="0016430A">
            <w:pPr>
              <w:rPr>
                <w:rFonts w:asciiTheme="minorHAnsi" w:hAnsiTheme="minorHAnsi"/>
                <w:sz w:val="24"/>
                <w:szCs w:val="24"/>
              </w:rPr>
            </w:pPr>
          </w:p>
        </w:tc>
      </w:tr>
      <w:tr w:rsidR="00221776" w:rsidRPr="00333F6B" w14:paraId="7F692B61" w14:textId="77777777" w:rsidTr="00C27B08">
        <w:tc>
          <w:tcPr>
            <w:tcW w:w="2497" w:type="dxa"/>
          </w:tcPr>
          <w:p w14:paraId="15C5DCDB" w14:textId="77777777" w:rsidR="00221776" w:rsidRPr="00333F6B" w:rsidRDefault="00221776" w:rsidP="00C27B08">
            <w:pPr>
              <w:pStyle w:val="Table"/>
            </w:pPr>
            <w:r w:rsidRPr="00333F6B">
              <w:t>ATCO.B.025 (a) (5)</w:t>
            </w:r>
          </w:p>
          <w:p w14:paraId="62B68736" w14:textId="77777777" w:rsidR="00221776" w:rsidRPr="00333F6B" w:rsidRDefault="00221776" w:rsidP="00C27B08">
            <w:pPr>
              <w:pStyle w:val="Table"/>
            </w:pPr>
            <w:r w:rsidRPr="00333F6B">
              <w:t>Processes for assessing competence, including assessment of the refresher training subjects according to ATCO.D.080(b)</w:t>
            </w:r>
          </w:p>
        </w:tc>
        <w:tc>
          <w:tcPr>
            <w:tcW w:w="4240" w:type="dxa"/>
            <w:gridSpan w:val="2"/>
          </w:tcPr>
          <w:p w14:paraId="0F6E11AA" w14:textId="77777777" w:rsidR="00221776" w:rsidRPr="00333F6B" w:rsidRDefault="00221776" w:rsidP="00C27B08">
            <w:pPr>
              <w:pStyle w:val="Table"/>
            </w:pPr>
            <w:r w:rsidRPr="00333F6B">
              <w:t>AMC1 ATCO.B.025(a)(5) ;(6) requires the following:</w:t>
            </w:r>
          </w:p>
          <w:p w14:paraId="0CA86194" w14:textId="77777777" w:rsidR="00221776" w:rsidRPr="00333F6B" w:rsidRDefault="00221776" w:rsidP="00C27B08">
            <w:pPr>
              <w:pStyle w:val="Table"/>
            </w:pPr>
            <w:r w:rsidRPr="00333F6B">
              <w:t>(a) The practical performance and skills should be assessed in live traffic situations.</w:t>
            </w:r>
          </w:p>
          <w:p w14:paraId="32B434CC" w14:textId="77777777" w:rsidR="00221776" w:rsidRPr="00333F6B" w:rsidRDefault="00221776" w:rsidP="00C27B08">
            <w:pPr>
              <w:pStyle w:val="Table"/>
            </w:pPr>
          </w:p>
        </w:tc>
        <w:tc>
          <w:tcPr>
            <w:tcW w:w="2756" w:type="dxa"/>
          </w:tcPr>
          <w:p w14:paraId="465A3B45" w14:textId="77777777" w:rsidR="00221776" w:rsidRPr="00333F6B" w:rsidRDefault="00221776" w:rsidP="00C27B08">
            <w:pPr>
              <w:pStyle w:val="Table"/>
            </w:pPr>
            <w:r w:rsidRPr="00333F6B">
              <w:t>Does the UCS describe a process for assessing practical performance and skills in live traffic situations.</w:t>
            </w:r>
          </w:p>
        </w:tc>
        <w:tc>
          <w:tcPr>
            <w:tcW w:w="711" w:type="dxa"/>
          </w:tcPr>
          <w:p w14:paraId="0EA092A5" w14:textId="77777777" w:rsidR="00221776" w:rsidRPr="00333F6B" w:rsidRDefault="00221776" w:rsidP="00C27B08">
            <w:pPr>
              <w:pStyle w:val="Table"/>
            </w:pPr>
          </w:p>
        </w:tc>
        <w:tc>
          <w:tcPr>
            <w:tcW w:w="3760" w:type="dxa"/>
          </w:tcPr>
          <w:p w14:paraId="41268FD8" w14:textId="77777777" w:rsidR="00221776" w:rsidRPr="00333F6B" w:rsidRDefault="00221776" w:rsidP="00C27B08">
            <w:pPr>
              <w:pStyle w:val="Table"/>
            </w:pPr>
          </w:p>
        </w:tc>
      </w:tr>
    </w:tbl>
    <w:p w14:paraId="00B2273F" w14:textId="77777777" w:rsidR="00221776" w:rsidRPr="00333F6B" w:rsidRDefault="00221776" w:rsidP="00221776">
      <w:pPr>
        <w:rPr>
          <w:rFonts w:asciiTheme="minorHAnsi" w:hAnsiTheme="minorHAnsi"/>
          <w:sz w:val="24"/>
          <w:szCs w:val="24"/>
        </w:rPr>
      </w:pPr>
    </w:p>
    <w:p w14:paraId="4D984ADE" w14:textId="77777777" w:rsidR="00221776" w:rsidRPr="00333F6B" w:rsidRDefault="00221776" w:rsidP="00221776">
      <w:pPr>
        <w:rPr>
          <w:rFonts w:asciiTheme="minorHAnsi" w:hAnsiTheme="minorHAnsi"/>
          <w:sz w:val="24"/>
          <w:szCs w:val="24"/>
        </w:rPr>
      </w:pPr>
      <w:r w:rsidRPr="00333F6B">
        <w:rPr>
          <w:rFonts w:asciiTheme="minorHAnsi" w:hAnsiTheme="minorHAnsi"/>
          <w:sz w:val="24"/>
          <w:szCs w:val="24"/>
        </w:rPr>
        <w:br w:type="page"/>
      </w:r>
    </w:p>
    <w:p w14:paraId="667CFC37" w14:textId="77777777" w:rsidR="00221776" w:rsidRPr="00333F6B" w:rsidRDefault="00221776" w:rsidP="00221776">
      <w:pPr>
        <w:rPr>
          <w:rFonts w:asciiTheme="minorHAnsi" w:hAnsiTheme="minorHAnsi"/>
          <w:sz w:val="24"/>
          <w:szCs w:val="24"/>
        </w:rPr>
      </w:pPr>
    </w:p>
    <w:tbl>
      <w:tblPr>
        <w:tblStyle w:val="TableGrid"/>
        <w:tblW w:w="0" w:type="auto"/>
        <w:tblLook w:val="04A0" w:firstRow="1" w:lastRow="0" w:firstColumn="1" w:lastColumn="0" w:noHBand="0" w:noVBand="1"/>
      </w:tblPr>
      <w:tblGrid>
        <w:gridCol w:w="2382"/>
        <w:gridCol w:w="97"/>
        <w:gridCol w:w="31"/>
        <w:gridCol w:w="52"/>
        <w:gridCol w:w="4159"/>
        <w:gridCol w:w="37"/>
        <w:gridCol w:w="29"/>
        <w:gridCol w:w="2831"/>
        <w:gridCol w:w="596"/>
        <w:gridCol w:w="3749"/>
        <w:gridCol w:w="73"/>
      </w:tblGrid>
      <w:tr w:rsidR="00221776" w:rsidRPr="00333F6B" w14:paraId="2B32E8DE" w14:textId="77777777" w:rsidTr="00B64D7E">
        <w:trPr>
          <w:gridAfter w:val="1"/>
          <w:wAfter w:w="71" w:type="dxa"/>
        </w:trPr>
        <w:tc>
          <w:tcPr>
            <w:tcW w:w="2382" w:type="dxa"/>
          </w:tcPr>
          <w:p w14:paraId="205624B4" w14:textId="77777777" w:rsidR="00221776" w:rsidRPr="00333F6B" w:rsidRDefault="00221776" w:rsidP="00C27B08">
            <w:pPr>
              <w:pStyle w:val="Table"/>
            </w:pPr>
            <w:r w:rsidRPr="00333F6B">
              <w:t>ATCO.B.025 (a) (5)</w:t>
            </w:r>
          </w:p>
          <w:p w14:paraId="23CAD5B3" w14:textId="77777777" w:rsidR="00221776" w:rsidRPr="00333F6B" w:rsidRDefault="00221776" w:rsidP="00C27B08">
            <w:pPr>
              <w:pStyle w:val="Table"/>
            </w:pPr>
            <w:r w:rsidRPr="00333F6B">
              <w:t>Processes for assessing competence, including assessment of the refresher training subjects according to ATCO.D.080(b)</w:t>
            </w:r>
          </w:p>
        </w:tc>
        <w:tc>
          <w:tcPr>
            <w:tcW w:w="4405" w:type="dxa"/>
            <w:gridSpan w:val="6"/>
          </w:tcPr>
          <w:p w14:paraId="3774F25E" w14:textId="77777777" w:rsidR="00221776" w:rsidRPr="00333F6B" w:rsidRDefault="00221776" w:rsidP="00C27B08">
            <w:pPr>
              <w:pStyle w:val="Table"/>
            </w:pPr>
            <w:r w:rsidRPr="00333F6B">
              <w:t>AMC1 ATCO.B.025(a)(5) ;(6) requires the following:</w:t>
            </w:r>
          </w:p>
          <w:p w14:paraId="1C82DEC9" w14:textId="77777777" w:rsidR="00221776" w:rsidRPr="00333F6B" w:rsidRDefault="00221776" w:rsidP="00C27B08">
            <w:pPr>
              <w:pStyle w:val="Table"/>
            </w:pPr>
            <w:r w:rsidRPr="00333F6B">
              <w:t>(b) Theoretical competence should be examined to ascertain the knowledge and understanding of air traffic controllers.</w:t>
            </w:r>
          </w:p>
        </w:tc>
        <w:tc>
          <w:tcPr>
            <w:tcW w:w="2831" w:type="dxa"/>
          </w:tcPr>
          <w:p w14:paraId="63A9884E" w14:textId="77777777" w:rsidR="00221776" w:rsidRPr="00333F6B" w:rsidRDefault="00221776" w:rsidP="00C27B08">
            <w:pPr>
              <w:pStyle w:val="Table"/>
            </w:pPr>
            <w:r w:rsidRPr="00333F6B">
              <w:t>Does the UCS describe a process the examination of theoretical competence?</w:t>
            </w:r>
          </w:p>
        </w:tc>
        <w:tc>
          <w:tcPr>
            <w:tcW w:w="596" w:type="dxa"/>
          </w:tcPr>
          <w:p w14:paraId="79DEF685" w14:textId="77777777" w:rsidR="00221776" w:rsidRPr="00333F6B" w:rsidRDefault="00221776" w:rsidP="00C27B08">
            <w:pPr>
              <w:pStyle w:val="Table"/>
            </w:pPr>
          </w:p>
        </w:tc>
        <w:tc>
          <w:tcPr>
            <w:tcW w:w="3749" w:type="dxa"/>
          </w:tcPr>
          <w:p w14:paraId="79A43284" w14:textId="77777777" w:rsidR="00221776" w:rsidRPr="00333F6B" w:rsidRDefault="00221776" w:rsidP="00C27B08">
            <w:pPr>
              <w:pStyle w:val="Table"/>
            </w:pPr>
          </w:p>
        </w:tc>
      </w:tr>
      <w:tr w:rsidR="00221776" w:rsidRPr="00333F6B" w14:paraId="1B64ED51" w14:textId="77777777" w:rsidTr="00B64D7E">
        <w:trPr>
          <w:gridAfter w:val="1"/>
          <w:wAfter w:w="71" w:type="dxa"/>
        </w:trPr>
        <w:tc>
          <w:tcPr>
            <w:tcW w:w="2382" w:type="dxa"/>
          </w:tcPr>
          <w:p w14:paraId="5B1C4A50" w14:textId="77777777" w:rsidR="00221776" w:rsidRPr="00333F6B" w:rsidRDefault="00221776" w:rsidP="00C27B08">
            <w:pPr>
              <w:pStyle w:val="Table"/>
            </w:pPr>
            <w:r w:rsidRPr="00333F6B">
              <w:t>ATCO.B.025 (a) (5)</w:t>
            </w:r>
          </w:p>
          <w:p w14:paraId="675BCBB5" w14:textId="77777777" w:rsidR="00221776" w:rsidRPr="00333F6B" w:rsidRDefault="00221776" w:rsidP="00C27B08">
            <w:pPr>
              <w:pStyle w:val="Table"/>
            </w:pPr>
            <w:r w:rsidRPr="00333F6B">
              <w:t>Processes for assessing competence, including assessment of the refresher training subjects according to ATCO.D.080(b)</w:t>
            </w:r>
          </w:p>
        </w:tc>
        <w:tc>
          <w:tcPr>
            <w:tcW w:w="4405" w:type="dxa"/>
            <w:gridSpan w:val="6"/>
          </w:tcPr>
          <w:p w14:paraId="47A2C721" w14:textId="77777777" w:rsidR="00221776" w:rsidRPr="00333F6B" w:rsidRDefault="00221776" w:rsidP="00C27B08">
            <w:pPr>
              <w:pStyle w:val="Table"/>
            </w:pPr>
            <w:r w:rsidRPr="00333F6B">
              <w:t>AMC1 ATCO.B.025(a)(5) ;(6) requires the following:</w:t>
            </w:r>
          </w:p>
          <w:p w14:paraId="4ABE17CD" w14:textId="77777777" w:rsidR="00221776" w:rsidRPr="00333F6B" w:rsidRDefault="00221776" w:rsidP="00C27B08">
            <w:pPr>
              <w:pStyle w:val="Table"/>
            </w:pPr>
            <w:r w:rsidRPr="00333F6B">
              <w:t>Subjects taught during refresher training such as standard practices and procedures, abnormal and emergency situations and human factors should be assessed on STD or in other simulated environments and/or examined.</w:t>
            </w:r>
          </w:p>
        </w:tc>
        <w:tc>
          <w:tcPr>
            <w:tcW w:w="2831" w:type="dxa"/>
          </w:tcPr>
          <w:p w14:paraId="79A3F301" w14:textId="77777777" w:rsidR="00221776" w:rsidRPr="00333F6B" w:rsidRDefault="00221776" w:rsidP="00C27B08">
            <w:pPr>
              <w:pStyle w:val="Table"/>
            </w:pPr>
            <w:r w:rsidRPr="00333F6B">
              <w:t>Does the UCS describe a process for assessing the subjects taught during refresher training on an STD and/or by examination?</w:t>
            </w:r>
          </w:p>
        </w:tc>
        <w:tc>
          <w:tcPr>
            <w:tcW w:w="596" w:type="dxa"/>
          </w:tcPr>
          <w:p w14:paraId="21AE5DE8" w14:textId="77777777" w:rsidR="00221776" w:rsidRPr="00333F6B" w:rsidRDefault="00221776" w:rsidP="00C27B08">
            <w:pPr>
              <w:pStyle w:val="Table"/>
            </w:pPr>
          </w:p>
        </w:tc>
        <w:tc>
          <w:tcPr>
            <w:tcW w:w="3749" w:type="dxa"/>
          </w:tcPr>
          <w:p w14:paraId="39556087" w14:textId="77777777" w:rsidR="00221776" w:rsidRPr="00333F6B" w:rsidRDefault="00221776" w:rsidP="00C27B08">
            <w:pPr>
              <w:pStyle w:val="Table"/>
            </w:pPr>
          </w:p>
        </w:tc>
      </w:tr>
      <w:tr w:rsidR="00221776" w:rsidRPr="00333F6B" w14:paraId="23B4ADEB" w14:textId="77777777" w:rsidTr="00B64D7E">
        <w:trPr>
          <w:gridAfter w:val="1"/>
          <w:wAfter w:w="71" w:type="dxa"/>
        </w:trPr>
        <w:tc>
          <w:tcPr>
            <w:tcW w:w="2382" w:type="dxa"/>
          </w:tcPr>
          <w:p w14:paraId="09F100D7" w14:textId="77777777" w:rsidR="00221776" w:rsidRPr="00333F6B" w:rsidRDefault="00221776" w:rsidP="00C27B08">
            <w:pPr>
              <w:pStyle w:val="Table"/>
            </w:pPr>
            <w:r w:rsidRPr="00333F6B">
              <w:t>ATCO.B.025 (a) (6)</w:t>
            </w:r>
          </w:p>
          <w:p w14:paraId="7DB9E55C" w14:textId="77777777" w:rsidR="00221776" w:rsidRPr="00333F6B" w:rsidRDefault="00221776" w:rsidP="00C27B08">
            <w:pPr>
              <w:pStyle w:val="Table"/>
            </w:pPr>
            <w:r w:rsidRPr="00333F6B">
              <w:t xml:space="preserve">Processes for the examination of theoretical knowledge and understanding necessary to exercise privileges of the </w:t>
            </w:r>
            <w:r w:rsidRPr="00333F6B">
              <w:lastRenderedPageBreak/>
              <w:t>ratings and endorsements</w:t>
            </w:r>
          </w:p>
        </w:tc>
        <w:tc>
          <w:tcPr>
            <w:tcW w:w="4405" w:type="dxa"/>
            <w:gridSpan w:val="6"/>
          </w:tcPr>
          <w:p w14:paraId="5FA0EF88" w14:textId="77777777" w:rsidR="00221776" w:rsidRPr="00333F6B" w:rsidRDefault="00221776" w:rsidP="00C27B08">
            <w:pPr>
              <w:pStyle w:val="Table"/>
            </w:pPr>
            <w:r w:rsidRPr="00333F6B">
              <w:lastRenderedPageBreak/>
              <w:t>The examination may be written or oral.</w:t>
            </w:r>
          </w:p>
          <w:p w14:paraId="3C123103" w14:textId="77777777" w:rsidR="00221776" w:rsidRPr="00333F6B" w:rsidRDefault="00221776" w:rsidP="00C27B08">
            <w:pPr>
              <w:pStyle w:val="Table"/>
            </w:pPr>
            <w:r w:rsidRPr="00333F6B">
              <w:t>Note the following from GM1 ATCO.B.025(a)(6)</w:t>
            </w:r>
          </w:p>
          <w:p w14:paraId="20EF1C8E" w14:textId="77777777" w:rsidR="00221776" w:rsidRPr="00333F6B" w:rsidRDefault="00221776" w:rsidP="00C27B08">
            <w:pPr>
              <w:pStyle w:val="Table"/>
            </w:pPr>
            <w:r w:rsidRPr="00333F6B">
              <w:t>Oral examinations should be used to test understanding of applicable techniques and the rules governing them, particularly of unit and national air traffic control procedures. Scenario-</w:t>
            </w:r>
            <w:r w:rsidRPr="00333F6B">
              <w:lastRenderedPageBreak/>
              <w:t>type questioning allows the assessor to gather additional evidence of how an air traffic controller would react in circumstances that are not observable but are nevertheless considered important to the overall operation at that ATC unit.</w:t>
            </w:r>
          </w:p>
        </w:tc>
        <w:tc>
          <w:tcPr>
            <w:tcW w:w="2831" w:type="dxa"/>
          </w:tcPr>
          <w:p w14:paraId="10272C9C" w14:textId="77777777" w:rsidR="00221776" w:rsidRPr="00333F6B" w:rsidRDefault="00221776" w:rsidP="00C27B08">
            <w:pPr>
              <w:pStyle w:val="Table"/>
            </w:pPr>
            <w:r w:rsidRPr="00333F6B">
              <w:lastRenderedPageBreak/>
              <w:t>Does the UCS describe a process for the examinations?</w:t>
            </w:r>
          </w:p>
        </w:tc>
        <w:tc>
          <w:tcPr>
            <w:tcW w:w="596" w:type="dxa"/>
          </w:tcPr>
          <w:p w14:paraId="49E718EA" w14:textId="77777777" w:rsidR="00221776" w:rsidRPr="00333F6B" w:rsidRDefault="00221776" w:rsidP="00C27B08">
            <w:pPr>
              <w:pStyle w:val="Table"/>
            </w:pPr>
          </w:p>
        </w:tc>
        <w:tc>
          <w:tcPr>
            <w:tcW w:w="3749" w:type="dxa"/>
          </w:tcPr>
          <w:p w14:paraId="41B3A458" w14:textId="77777777" w:rsidR="00221776" w:rsidRPr="00333F6B" w:rsidRDefault="00221776" w:rsidP="00C27B08">
            <w:pPr>
              <w:pStyle w:val="Table"/>
            </w:pPr>
          </w:p>
        </w:tc>
      </w:tr>
      <w:tr w:rsidR="00221776" w:rsidRPr="00333F6B" w14:paraId="3D99A749" w14:textId="77777777" w:rsidTr="00B64D7E">
        <w:tc>
          <w:tcPr>
            <w:tcW w:w="2382" w:type="dxa"/>
          </w:tcPr>
          <w:p w14:paraId="78721A7A" w14:textId="77777777" w:rsidR="00221776" w:rsidRPr="00333F6B" w:rsidRDefault="00221776" w:rsidP="00C27B08">
            <w:pPr>
              <w:pStyle w:val="Table"/>
            </w:pPr>
            <w:bookmarkStart w:id="0" w:name="_Hlk521056926"/>
            <w:r w:rsidRPr="00333F6B">
              <w:t>ATCO.B.025 (a) (7)</w:t>
            </w:r>
          </w:p>
          <w:p w14:paraId="4C6EC324" w14:textId="77777777" w:rsidR="00221776" w:rsidRPr="00333F6B" w:rsidRDefault="00221776" w:rsidP="00C27B08">
            <w:pPr>
              <w:pStyle w:val="Table"/>
            </w:pPr>
            <w:r w:rsidRPr="00333F6B">
              <w:t>Processes to identify the topics and subtopics, objectives and training methods for continuation training;</w:t>
            </w:r>
          </w:p>
        </w:tc>
        <w:tc>
          <w:tcPr>
            <w:tcW w:w="4405" w:type="dxa"/>
            <w:gridSpan w:val="6"/>
          </w:tcPr>
          <w:p w14:paraId="504109A1" w14:textId="77777777" w:rsidR="00221776" w:rsidRPr="00333F6B" w:rsidRDefault="00221776" w:rsidP="00C27B08">
            <w:pPr>
              <w:pStyle w:val="Table"/>
            </w:pPr>
            <w:r w:rsidRPr="00333F6B">
              <w:t>The process should be looking at the methodology on how the content of continuation is decided. Such topics should fall under the following headings:</w:t>
            </w:r>
          </w:p>
          <w:p w14:paraId="6A1B3F40" w14:textId="77777777" w:rsidR="00221776" w:rsidRPr="00333F6B" w:rsidRDefault="00221776" w:rsidP="00C27B08">
            <w:pPr>
              <w:pStyle w:val="Table"/>
              <w:rPr>
                <w:b/>
              </w:rPr>
            </w:pPr>
            <w:r w:rsidRPr="00333F6B">
              <w:rPr>
                <w:b/>
              </w:rPr>
              <w:t>Refresher Training</w:t>
            </w:r>
          </w:p>
          <w:p w14:paraId="32566B51" w14:textId="78E8A628" w:rsidR="00221776" w:rsidRPr="00333F6B" w:rsidRDefault="00221776" w:rsidP="00B64D7E">
            <w:pPr>
              <w:pStyle w:val="ListParagraph"/>
              <w:numPr>
                <w:ilvl w:val="0"/>
                <w:numId w:val="11"/>
              </w:numPr>
              <w:spacing w:line="280" w:lineRule="exact"/>
              <w:ind w:left="486" w:hanging="425"/>
              <w:jc w:val="left"/>
            </w:pPr>
            <w:r w:rsidRPr="00333F6B">
              <w:t>Standard practices and procedures training, using approved phraseology and effective communication;</w:t>
            </w:r>
          </w:p>
          <w:p w14:paraId="385FDFF0" w14:textId="1ED6CF9E" w:rsidR="00221776" w:rsidRPr="00333F6B" w:rsidRDefault="00221776" w:rsidP="00B64D7E">
            <w:pPr>
              <w:pStyle w:val="ListParagraph"/>
              <w:numPr>
                <w:ilvl w:val="0"/>
                <w:numId w:val="11"/>
              </w:numPr>
              <w:spacing w:line="280" w:lineRule="exact"/>
              <w:ind w:left="486" w:hanging="425"/>
              <w:jc w:val="left"/>
            </w:pPr>
            <w:r w:rsidRPr="00333F6B">
              <w:t>abnormal and emergency situations training, using approved phraseology and effective communication;</w:t>
            </w:r>
          </w:p>
          <w:p w14:paraId="511EC80A" w14:textId="01F43846" w:rsidR="00221776" w:rsidRPr="00333F6B" w:rsidRDefault="00221776" w:rsidP="00B64D7E">
            <w:pPr>
              <w:pStyle w:val="ListParagraph"/>
              <w:numPr>
                <w:ilvl w:val="0"/>
                <w:numId w:val="11"/>
              </w:numPr>
              <w:spacing w:line="360" w:lineRule="exact"/>
              <w:ind w:left="486" w:hanging="425"/>
              <w:jc w:val="left"/>
            </w:pPr>
            <w:r w:rsidRPr="00333F6B">
              <w:t>human factors training.</w:t>
            </w:r>
          </w:p>
          <w:p w14:paraId="24ECF6E9" w14:textId="77777777" w:rsidR="00221776" w:rsidRPr="00333F6B" w:rsidRDefault="00221776" w:rsidP="00C27B08">
            <w:pPr>
              <w:pStyle w:val="Table"/>
              <w:rPr>
                <w:b/>
              </w:rPr>
            </w:pPr>
            <w:r w:rsidRPr="00333F6B">
              <w:rPr>
                <w:b/>
              </w:rPr>
              <w:t>Conversion Training:</w:t>
            </w:r>
          </w:p>
          <w:p w14:paraId="31C902DD" w14:textId="331B2AD5" w:rsidR="00221776" w:rsidRPr="00333F6B" w:rsidRDefault="00221776" w:rsidP="00B64D7E">
            <w:pPr>
              <w:pStyle w:val="ListParagraph"/>
              <w:numPr>
                <w:ilvl w:val="0"/>
                <w:numId w:val="12"/>
              </w:numPr>
              <w:spacing w:line="280" w:lineRule="exact"/>
              <w:ind w:left="486" w:hanging="425"/>
              <w:jc w:val="left"/>
            </w:pPr>
            <w:r w:rsidRPr="00333F6B">
              <w:t>The appropriate training method for and duration of the course, considering the nature and extent of the change;</w:t>
            </w:r>
          </w:p>
          <w:p w14:paraId="077FB74C" w14:textId="49AB8E9B" w:rsidR="00221776" w:rsidRPr="00333F6B" w:rsidRDefault="00221776" w:rsidP="00B64D7E">
            <w:pPr>
              <w:pStyle w:val="ListParagraph"/>
              <w:numPr>
                <w:ilvl w:val="0"/>
                <w:numId w:val="12"/>
              </w:numPr>
              <w:spacing w:line="280" w:lineRule="exact"/>
              <w:ind w:left="486" w:hanging="425"/>
              <w:jc w:val="left"/>
              <w:rPr>
                <w:rFonts w:asciiTheme="minorHAnsi" w:hAnsiTheme="minorHAnsi"/>
                <w:sz w:val="24"/>
                <w:szCs w:val="24"/>
              </w:rPr>
            </w:pPr>
            <w:r w:rsidRPr="00333F6B">
              <w:lastRenderedPageBreak/>
              <w:t>the examination and/or assessment methods for the conversion training.</w:t>
            </w:r>
          </w:p>
        </w:tc>
        <w:tc>
          <w:tcPr>
            <w:tcW w:w="2831" w:type="dxa"/>
          </w:tcPr>
          <w:p w14:paraId="49A79E60" w14:textId="77777777" w:rsidR="00221776" w:rsidRPr="00333F6B" w:rsidRDefault="00221776" w:rsidP="00C27B08">
            <w:pPr>
              <w:pStyle w:val="Table"/>
            </w:pPr>
            <w:r w:rsidRPr="00333F6B">
              <w:lastRenderedPageBreak/>
              <w:t>Does the UCS describe a process to identify the topics and subtopics, objectives and training methods for continuation training.</w:t>
            </w:r>
          </w:p>
        </w:tc>
        <w:tc>
          <w:tcPr>
            <w:tcW w:w="596" w:type="dxa"/>
          </w:tcPr>
          <w:p w14:paraId="3E739274" w14:textId="77777777" w:rsidR="00221776" w:rsidRPr="00333F6B" w:rsidRDefault="00221776" w:rsidP="00852CC6">
            <w:pPr>
              <w:spacing w:before="120" w:after="120"/>
              <w:contextualSpacing/>
              <w:rPr>
                <w:rFonts w:asciiTheme="minorHAnsi" w:hAnsiTheme="minorHAnsi"/>
                <w:sz w:val="24"/>
                <w:szCs w:val="24"/>
              </w:rPr>
            </w:pPr>
          </w:p>
        </w:tc>
        <w:tc>
          <w:tcPr>
            <w:tcW w:w="3820" w:type="dxa"/>
            <w:gridSpan w:val="2"/>
          </w:tcPr>
          <w:p w14:paraId="72C65437" w14:textId="77777777" w:rsidR="00221776" w:rsidRPr="00333F6B" w:rsidRDefault="00221776" w:rsidP="00852CC6">
            <w:pPr>
              <w:spacing w:before="120" w:after="120"/>
              <w:contextualSpacing/>
              <w:rPr>
                <w:rFonts w:asciiTheme="minorHAnsi" w:hAnsiTheme="minorHAnsi"/>
                <w:sz w:val="24"/>
                <w:szCs w:val="24"/>
              </w:rPr>
            </w:pPr>
          </w:p>
        </w:tc>
      </w:tr>
      <w:bookmarkEnd w:id="0"/>
      <w:tr w:rsidR="00221776" w:rsidRPr="00333F6B" w14:paraId="35FE1CDE" w14:textId="77777777" w:rsidTr="00B64D7E">
        <w:tc>
          <w:tcPr>
            <w:tcW w:w="2382" w:type="dxa"/>
          </w:tcPr>
          <w:p w14:paraId="4AB3652C" w14:textId="77777777" w:rsidR="00221776" w:rsidRPr="00333F6B" w:rsidRDefault="00221776" w:rsidP="00C27B08">
            <w:pPr>
              <w:pStyle w:val="Table"/>
            </w:pPr>
            <w:r w:rsidRPr="00333F6B">
              <w:t>ATCO.B.025 (a) (8)</w:t>
            </w:r>
          </w:p>
          <w:p w14:paraId="5F3D3807" w14:textId="77777777" w:rsidR="00221776" w:rsidRPr="00333F6B" w:rsidRDefault="00221776" w:rsidP="00C27B08">
            <w:pPr>
              <w:pStyle w:val="Table"/>
            </w:pPr>
            <w:r w:rsidRPr="00333F6B">
              <w:t>The minimum duration and frequency of the refresher training</w:t>
            </w:r>
          </w:p>
        </w:tc>
        <w:tc>
          <w:tcPr>
            <w:tcW w:w="4405" w:type="dxa"/>
            <w:gridSpan w:val="6"/>
          </w:tcPr>
          <w:p w14:paraId="4A9B45BA" w14:textId="703BDE57" w:rsidR="00221776" w:rsidRPr="00333F6B" w:rsidRDefault="00221776" w:rsidP="00C27B08">
            <w:pPr>
              <w:pStyle w:val="Table"/>
            </w:pPr>
            <w:r w:rsidRPr="00333F6B">
              <w:t>The duration for refresher training is not defined however; CAA</w:t>
            </w:r>
            <w:r w:rsidR="000707E9" w:rsidRPr="00333F6B">
              <w:t>T</w:t>
            </w:r>
            <w:r w:rsidRPr="00333F6B">
              <w:t xml:space="preserve"> recommends this to be a minimum 4 hours.</w:t>
            </w:r>
          </w:p>
        </w:tc>
        <w:tc>
          <w:tcPr>
            <w:tcW w:w="2831" w:type="dxa"/>
          </w:tcPr>
          <w:p w14:paraId="41CEBA9A" w14:textId="77777777" w:rsidR="00221776" w:rsidRPr="00333F6B" w:rsidRDefault="00221776" w:rsidP="00C27B08">
            <w:pPr>
              <w:pStyle w:val="Table"/>
            </w:pPr>
            <w:r w:rsidRPr="00333F6B">
              <w:t>Is the minimum duration and frequency of refresher training defined?</w:t>
            </w:r>
          </w:p>
        </w:tc>
        <w:tc>
          <w:tcPr>
            <w:tcW w:w="596" w:type="dxa"/>
          </w:tcPr>
          <w:p w14:paraId="32D96B1B" w14:textId="77777777" w:rsidR="00221776" w:rsidRPr="00333F6B" w:rsidRDefault="00221776" w:rsidP="00C27B08">
            <w:pPr>
              <w:pStyle w:val="Table"/>
            </w:pPr>
          </w:p>
        </w:tc>
        <w:tc>
          <w:tcPr>
            <w:tcW w:w="3820" w:type="dxa"/>
            <w:gridSpan w:val="2"/>
          </w:tcPr>
          <w:p w14:paraId="59EEB762" w14:textId="77777777" w:rsidR="00221776" w:rsidRPr="00333F6B" w:rsidRDefault="00221776" w:rsidP="00C27B08">
            <w:pPr>
              <w:pStyle w:val="Table"/>
            </w:pPr>
          </w:p>
        </w:tc>
      </w:tr>
      <w:tr w:rsidR="00221776" w:rsidRPr="00333F6B" w14:paraId="57BC268D" w14:textId="77777777" w:rsidTr="00B64D7E">
        <w:trPr>
          <w:trHeight w:val="1882"/>
        </w:trPr>
        <w:tc>
          <w:tcPr>
            <w:tcW w:w="2382" w:type="dxa"/>
            <w:vMerge w:val="restart"/>
          </w:tcPr>
          <w:p w14:paraId="7412EDA0" w14:textId="77777777" w:rsidR="00221776" w:rsidRPr="00333F6B" w:rsidRDefault="00221776" w:rsidP="00C27B08">
            <w:pPr>
              <w:pStyle w:val="Table"/>
            </w:pPr>
            <w:r w:rsidRPr="00333F6B">
              <w:t>ATCO.B.025 (a) (9)</w:t>
            </w:r>
          </w:p>
          <w:p w14:paraId="153307CB" w14:textId="77777777" w:rsidR="00221776" w:rsidRPr="00333F6B" w:rsidRDefault="00221776" w:rsidP="00C27B08">
            <w:pPr>
              <w:pStyle w:val="Table"/>
            </w:pPr>
            <w:r w:rsidRPr="00333F6B">
              <w:t>Processes for the examination of theoretical knowledge and/or the assessment of practical skills acquired during conversion training, including pass marks for examinations</w:t>
            </w:r>
          </w:p>
        </w:tc>
        <w:tc>
          <w:tcPr>
            <w:tcW w:w="4405" w:type="dxa"/>
            <w:gridSpan w:val="6"/>
            <w:vMerge w:val="restart"/>
          </w:tcPr>
          <w:p w14:paraId="61BEA32D" w14:textId="77777777" w:rsidR="00221776" w:rsidRPr="00333F6B" w:rsidRDefault="00221776" w:rsidP="00C27B08">
            <w:pPr>
              <w:pStyle w:val="Table"/>
            </w:pPr>
            <w:r w:rsidRPr="00333F6B">
              <w:t>Not all units will have conversion training in place.</w:t>
            </w:r>
          </w:p>
          <w:p w14:paraId="6986EA89" w14:textId="77777777" w:rsidR="00221776" w:rsidRPr="00333F6B" w:rsidRDefault="00221776" w:rsidP="00C27B08">
            <w:pPr>
              <w:pStyle w:val="Table"/>
            </w:pPr>
            <w:r w:rsidRPr="00333F6B">
              <w:t>ATCO.D.085 (b) states:</w:t>
            </w:r>
          </w:p>
          <w:p w14:paraId="77E066E7" w14:textId="77777777" w:rsidR="00221776" w:rsidRPr="00333F6B" w:rsidRDefault="00221776" w:rsidP="00C27B08">
            <w:pPr>
              <w:pStyle w:val="Table"/>
            </w:pPr>
            <w:r w:rsidRPr="00333F6B">
              <w:t>Conversion training shall be designed to provide knowledge and skills appropriate to a change in the operational environment and shall be provided by training organisations when the safety assessment of the change concludes the need for such training.</w:t>
            </w:r>
          </w:p>
          <w:p w14:paraId="76D8A3A6" w14:textId="77777777" w:rsidR="00221776" w:rsidRPr="00333F6B" w:rsidRDefault="00221776" w:rsidP="00C27B08">
            <w:pPr>
              <w:pStyle w:val="Table"/>
            </w:pPr>
          </w:p>
        </w:tc>
        <w:tc>
          <w:tcPr>
            <w:tcW w:w="2831" w:type="dxa"/>
          </w:tcPr>
          <w:p w14:paraId="700B21B2" w14:textId="77777777" w:rsidR="00221776" w:rsidRPr="00333F6B" w:rsidRDefault="00221776" w:rsidP="00C27B08">
            <w:pPr>
              <w:pStyle w:val="Table"/>
            </w:pPr>
            <w:r w:rsidRPr="00333F6B">
              <w:t>Where conversion training has not been developed is there a commitment in the UCS that indicates that it will be developed if a safety assessment of change concludes the need for such training?</w:t>
            </w:r>
          </w:p>
        </w:tc>
        <w:tc>
          <w:tcPr>
            <w:tcW w:w="596" w:type="dxa"/>
          </w:tcPr>
          <w:p w14:paraId="76189662" w14:textId="77777777" w:rsidR="00221776" w:rsidRPr="00333F6B" w:rsidRDefault="00221776" w:rsidP="00C27B08">
            <w:pPr>
              <w:pStyle w:val="Table"/>
            </w:pPr>
          </w:p>
        </w:tc>
        <w:tc>
          <w:tcPr>
            <w:tcW w:w="3820" w:type="dxa"/>
            <w:gridSpan w:val="2"/>
            <w:vMerge w:val="restart"/>
          </w:tcPr>
          <w:p w14:paraId="284E1D06" w14:textId="77777777" w:rsidR="00221776" w:rsidRPr="00333F6B" w:rsidRDefault="00221776" w:rsidP="00C27B08">
            <w:pPr>
              <w:pStyle w:val="Table"/>
            </w:pPr>
          </w:p>
        </w:tc>
      </w:tr>
      <w:tr w:rsidR="00221776" w:rsidRPr="00333F6B" w14:paraId="7AD9F2AE" w14:textId="77777777" w:rsidTr="00B64D7E">
        <w:trPr>
          <w:trHeight w:val="1739"/>
        </w:trPr>
        <w:tc>
          <w:tcPr>
            <w:tcW w:w="2382" w:type="dxa"/>
            <w:vMerge/>
          </w:tcPr>
          <w:p w14:paraId="681FD1FA" w14:textId="77777777" w:rsidR="00221776" w:rsidRPr="00333F6B" w:rsidRDefault="00221776" w:rsidP="00852CC6">
            <w:pPr>
              <w:spacing w:before="120" w:after="120"/>
              <w:contextualSpacing/>
              <w:jc w:val="left"/>
              <w:rPr>
                <w:rFonts w:asciiTheme="minorHAnsi" w:hAnsiTheme="minorHAnsi"/>
                <w:sz w:val="24"/>
                <w:szCs w:val="24"/>
              </w:rPr>
            </w:pPr>
          </w:p>
        </w:tc>
        <w:tc>
          <w:tcPr>
            <w:tcW w:w="4405" w:type="dxa"/>
            <w:gridSpan w:val="6"/>
            <w:vMerge/>
          </w:tcPr>
          <w:p w14:paraId="27C74D19" w14:textId="77777777" w:rsidR="00221776" w:rsidRPr="00333F6B" w:rsidRDefault="00221776" w:rsidP="00852CC6">
            <w:pPr>
              <w:spacing w:before="120" w:after="120"/>
              <w:contextualSpacing/>
              <w:jc w:val="left"/>
              <w:rPr>
                <w:rFonts w:asciiTheme="minorHAnsi" w:hAnsiTheme="minorHAnsi"/>
                <w:sz w:val="24"/>
                <w:szCs w:val="24"/>
              </w:rPr>
            </w:pPr>
          </w:p>
        </w:tc>
        <w:tc>
          <w:tcPr>
            <w:tcW w:w="2831" w:type="dxa"/>
          </w:tcPr>
          <w:p w14:paraId="23E5736D" w14:textId="77777777" w:rsidR="00221776" w:rsidRPr="00333F6B" w:rsidRDefault="00221776" w:rsidP="00C27B08">
            <w:pPr>
              <w:pStyle w:val="Table"/>
            </w:pPr>
            <w:r w:rsidRPr="00333F6B">
              <w:t>Where conversion training has been developed does the UCS indicate the process for examination and/or assessment and the pass marks for examination where appropriate.</w:t>
            </w:r>
          </w:p>
        </w:tc>
        <w:tc>
          <w:tcPr>
            <w:tcW w:w="596" w:type="dxa"/>
          </w:tcPr>
          <w:p w14:paraId="3489F10B" w14:textId="77777777" w:rsidR="00221776" w:rsidRPr="00333F6B" w:rsidRDefault="00221776" w:rsidP="00C27B08">
            <w:pPr>
              <w:pStyle w:val="Table"/>
            </w:pPr>
          </w:p>
        </w:tc>
        <w:tc>
          <w:tcPr>
            <w:tcW w:w="3820" w:type="dxa"/>
            <w:gridSpan w:val="2"/>
            <w:vMerge/>
          </w:tcPr>
          <w:p w14:paraId="2AF101AC" w14:textId="77777777" w:rsidR="00221776" w:rsidRPr="00333F6B" w:rsidRDefault="00221776" w:rsidP="0016430A">
            <w:pPr>
              <w:rPr>
                <w:rFonts w:asciiTheme="minorHAnsi" w:hAnsiTheme="minorHAnsi"/>
                <w:sz w:val="24"/>
                <w:szCs w:val="24"/>
              </w:rPr>
            </w:pPr>
          </w:p>
        </w:tc>
      </w:tr>
      <w:tr w:rsidR="00221776" w:rsidRPr="00333F6B" w14:paraId="04CCA723" w14:textId="77777777" w:rsidTr="00B64D7E">
        <w:tc>
          <w:tcPr>
            <w:tcW w:w="2382" w:type="dxa"/>
          </w:tcPr>
          <w:p w14:paraId="163FFD31" w14:textId="77777777" w:rsidR="00221776" w:rsidRPr="00333F6B" w:rsidRDefault="00221776" w:rsidP="00C27B08">
            <w:pPr>
              <w:pStyle w:val="Table"/>
            </w:pPr>
            <w:r w:rsidRPr="00333F6B">
              <w:t>ATCO.B.025 (a) (10)</w:t>
            </w:r>
          </w:p>
          <w:p w14:paraId="2FE0FD92" w14:textId="77777777" w:rsidR="00221776" w:rsidRPr="00333F6B" w:rsidRDefault="00221776" w:rsidP="00C27B08">
            <w:pPr>
              <w:pStyle w:val="Table"/>
            </w:pPr>
            <w:r w:rsidRPr="00333F6B">
              <w:t xml:space="preserve">Processes in case of failure of an </w:t>
            </w:r>
            <w:r w:rsidRPr="00333F6B">
              <w:lastRenderedPageBreak/>
              <w:t>examination or assessment, including the appeal processes;</w:t>
            </w:r>
          </w:p>
        </w:tc>
        <w:tc>
          <w:tcPr>
            <w:tcW w:w="4405" w:type="dxa"/>
            <w:gridSpan w:val="6"/>
          </w:tcPr>
          <w:p w14:paraId="656C896D" w14:textId="77777777" w:rsidR="00221776" w:rsidRPr="00333F6B" w:rsidRDefault="00221776" w:rsidP="00C27B08">
            <w:pPr>
              <w:pStyle w:val="Table"/>
            </w:pPr>
          </w:p>
        </w:tc>
        <w:tc>
          <w:tcPr>
            <w:tcW w:w="2831" w:type="dxa"/>
          </w:tcPr>
          <w:p w14:paraId="0FE10E11" w14:textId="77777777" w:rsidR="00221776" w:rsidRPr="00333F6B" w:rsidRDefault="00221776" w:rsidP="00C27B08">
            <w:pPr>
              <w:pStyle w:val="Table"/>
            </w:pPr>
            <w:r w:rsidRPr="00333F6B">
              <w:t xml:space="preserve">Does the UCs detail the actions to be taken in the event of a failure of </w:t>
            </w:r>
            <w:r w:rsidRPr="00333F6B">
              <w:lastRenderedPageBreak/>
              <w:t>an examination or assessment and does this action include the appeal process</w:t>
            </w:r>
          </w:p>
        </w:tc>
        <w:tc>
          <w:tcPr>
            <w:tcW w:w="596" w:type="dxa"/>
          </w:tcPr>
          <w:p w14:paraId="47E55221" w14:textId="77777777" w:rsidR="00221776" w:rsidRPr="00333F6B" w:rsidRDefault="00221776" w:rsidP="00C27B08">
            <w:pPr>
              <w:pStyle w:val="Table"/>
            </w:pPr>
          </w:p>
        </w:tc>
        <w:tc>
          <w:tcPr>
            <w:tcW w:w="3820" w:type="dxa"/>
            <w:gridSpan w:val="2"/>
          </w:tcPr>
          <w:p w14:paraId="438C9F6B" w14:textId="77777777" w:rsidR="00221776" w:rsidRPr="00333F6B" w:rsidRDefault="00221776" w:rsidP="00C27B08">
            <w:pPr>
              <w:pStyle w:val="Table"/>
            </w:pPr>
          </w:p>
        </w:tc>
      </w:tr>
      <w:tr w:rsidR="00221776" w:rsidRPr="00333F6B" w14:paraId="7906DBE0" w14:textId="77777777" w:rsidTr="00B64D7E">
        <w:tc>
          <w:tcPr>
            <w:tcW w:w="2382" w:type="dxa"/>
          </w:tcPr>
          <w:p w14:paraId="3A34A655" w14:textId="77777777" w:rsidR="00221776" w:rsidRPr="00333F6B" w:rsidRDefault="00221776" w:rsidP="00C27B08">
            <w:pPr>
              <w:pStyle w:val="Table"/>
            </w:pPr>
            <w:r w:rsidRPr="00333F6B">
              <w:t>ATCO.B.025 (a) (11)</w:t>
            </w:r>
          </w:p>
          <w:p w14:paraId="10DDE2B3" w14:textId="77777777" w:rsidR="00221776" w:rsidRPr="00333F6B" w:rsidRDefault="00221776" w:rsidP="00C27B08">
            <w:pPr>
              <w:pStyle w:val="Table"/>
            </w:pPr>
            <w:r w:rsidRPr="00333F6B">
              <w:t>Training personnel qualifications, roles and responsibilities</w:t>
            </w:r>
          </w:p>
        </w:tc>
        <w:tc>
          <w:tcPr>
            <w:tcW w:w="4405" w:type="dxa"/>
            <w:gridSpan w:val="6"/>
          </w:tcPr>
          <w:p w14:paraId="2B4E9C02" w14:textId="77777777" w:rsidR="00221776" w:rsidRPr="00333F6B" w:rsidRDefault="00221776" w:rsidP="00C27B08">
            <w:pPr>
              <w:pStyle w:val="Table"/>
            </w:pPr>
            <w:r w:rsidRPr="00333F6B">
              <w:t>Examinations and assessments should be conducted by appropriately qualified personnel.</w:t>
            </w:r>
          </w:p>
        </w:tc>
        <w:tc>
          <w:tcPr>
            <w:tcW w:w="2831" w:type="dxa"/>
          </w:tcPr>
          <w:p w14:paraId="01C3CE4C" w14:textId="77777777" w:rsidR="00221776" w:rsidRPr="00333F6B" w:rsidRDefault="00221776" w:rsidP="00C27B08">
            <w:pPr>
              <w:pStyle w:val="Table"/>
            </w:pPr>
            <w:r w:rsidRPr="00333F6B">
              <w:t>Are the roles and responsibilities and required qualifications of all personnel involved in training detailed?</w:t>
            </w:r>
          </w:p>
        </w:tc>
        <w:tc>
          <w:tcPr>
            <w:tcW w:w="596" w:type="dxa"/>
          </w:tcPr>
          <w:p w14:paraId="4FCDFDB8" w14:textId="77777777" w:rsidR="00221776" w:rsidRPr="00333F6B" w:rsidRDefault="00221776" w:rsidP="00C27B08">
            <w:pPr>
              <w:pStyle w:val="Table"/>
            </w:pPr>
          </w:p>
        </w:tc>
        <w:tc>
          <w:tcPr>
            <w:tcW w:w="3820" w:type="dxa"/>
            <w:gridSpan w:val="2"/>
          </w:tcPr>
          <w:p w14:paraId="2C8B59F5" w14:textId="77777777" w:rsidR="00221776" w:rsidRPr="00333F6B" w:rsidRDefault="00221776" w:rsidP="00C27B08">
            <w:pPr>
              <w:pStyle w:val="Table"/>
            </w:pPr>
          </w:p>
        </w:tc>
      </w:tr>
      <w:tr w:rsidR="00221776" w:rsidRPr="00333F6B" w14:paraId="0EED6E90" w14:textId="77777777" w:rsidTr="00B64D7E">
        <w:trPr>
          <w:gridAfter w:val="1"/>
          <w:wAfter w:w="71" w:type="dxa"/>
        </w:trPr>
        <w:tc>
          <w:tcPr>
            <w:tcW w:w="2562" w:type="dxa"/>
            <w:gridSpan w:val="4"/>
          </w:tcPr>
          <w:p w14:paraId="5F714FBD" w14:textId="77777777" w:rsidR="00221776" w:rsidRPr="00333F6B" w:rsidRDefault="00221776" w:rsidP="00C27B08">
            <w:pPr>
              <w:pStyle w:val="Table"/>
            </w:pPr>
            <w:r w:rsidRPr="00333F6B">
              <w:t>ATCO.B.025 (a) (12)</w:t>
            </w:r>
          </w:p>
          <w:p w14:paraId="190CF648" w14:textId="77777777" w:rsidR="00221776" w:rsidRPr="00333F6B" w:rsidRDefault="00221776" w:rsidP="00C27B08">
            <w:pPr>
              <w:pStyle w:val="Table"/>
            </w:pPr>
            <w:r w:rsidRPr="00333F6B">
              <w:t>Procedure to ensure that practical instructors have practised instructional techniques in the procedures in which it is intended to provide instruction in accordance with</w:t>
            </w:r>
          </w:p>
          <w:p w14:paraId="2150DBDC" w14:textId="77777777" w:rsidR="00221776" w:rsidRPr="00333F6B" w:rsidRDefault="00221776" w:rsidP="00C27B08">
            <w:pPr>
              <w:pStyle w:val="Table"/>
            </w:pPr>
            <w:r w:rsidRPr="00333F6B">
              <w:t>ATCO.C.010(b)(3) and ATCO.C.030(b)(3)</w:t>
            </w:r>
          </w:p>
        </w:tc>
        <w:tc>
          <w:tcPr>
            <w:tcW w:w="4196" w:type="dxa"/>
            <w:gridSpan w:val="2"/>
          </w:tcPr>
          <w:p w14:paraId="360F4723" w14:textId="77777777" w:rsidR="00221776" w:rsidRPr="00333F6B" w:rsidRDefault="00221776" w:rsidP="00C27B08">
            <w:pPr>
              <w:pStyle w:val="Table"/>
            </w:pPr>
            <w:r w:rsidRPr="00333F6B">
              <w:t>ATCO.C.010(b) Holders of an OJTI endorsement shall only exercise the privileges of the endorsement if they have:</w:t>
            </w:r>
          </w:p>
          <w:p w14:paraId="0328D6BF" w14:textId="77777777" w:rsidR="00221776" w:rsidRPr="00333F6B" w:rsidRDefault="00221776" w:rsidP="00C27B08">
            <w:pPr>
              <w:pStyle w:val="Table"/>
            </w:pPr>
            <w:r w:rsidRPr="00333F6B">
              <w:t>(3) practised instructional skills in those procedures in which it is intended to provide instruction.</w:t>
            </w:r>
          </w:p>
          <w:p w14:paraId="50C3065F" w14:textId="77777777" w:rsidR="00221776" w:rsidRPr="00333F6B" w:rsidRDefault="00221776" w:rsidP="00C27B08">
            <w:pPr>
              <w:pStyle w:val="Table"/>
            </w:pPr>
          </w:p>
          <w:p w14:paraId="64D85210" w14:textId="77777777" w:rsidR="00221776" w:rsidRPr="00333F6B" w:rsidRDefault="00221776" w:rsidP="00C27B08">
            <w:pPr>
              <w:pStyle w:val="Table"/>
            </w:pPr>
            <w:r w:rsidRPr="00333F6B">
              <w:t>ATCO.C.030(b Holders of an STDI endorsement shall only exercise the privileges of the endorsement if they have;</w:t>
            </w:r>
          </w:p>
          <w:p w14:paraId="59D121B4" w14:textId="77777777" w:rsidR="00221776" w:rsidRPr="00333F6B" w:rsidRDefault="00221776" w:rsidP="00C27B08">
            <w:pPr>
              <w:pStyle w:val="Table"/>
            </w:pPr>
            <w:r w:rsidRPr="00333F6B">
              <w:t>(3) practised instructional techniques in those procedures in which it is intended to provide instruction.</w:t>
            </w:r>
          </w:p>
        </w:tc>
        <w:tc>
          <w:tcPr>
            <w:tcW w:w="2860" w:type="dxa"/>
            <w:gridSpan w:val="2"/>
          </w:tcPr>
          <w:p w14:paraId="4706D3D3" w14:textId="77777777" w:rsidR="00221776" w:rsidRPr="00333F6B" w:rsidRDefault="00221776" w:rsidP="00C27B08">
            <w:pPr>
              <w:pStyle w:val="Table"/>
            </w:pPr>
            <w:r w:rsidRPr="00333F6B">
              <w:t>Is there a process detailing the currency requirements of OJTIs and STDIs, as appropriate, which includes the practicing of instructional techniques?</w:t>
            </w:r>
          </w:p>
        </w:tc>
        <w:tc>
          <w:tcPr>
            <w:tcW w:w="596" w:type="dxa"/>
          </w:tcPr>
          <w:p w14:paraId="6BF932E5" w14:textId="77777777" w:rsidR="00221776" w:rsidRPr="00333F6B" w:rsidRDefault="00221776" w:rsidP="0016430A">
            <w:pPr>
              <w:rPr>
                <w:rFonts w:asciiTheme="minorHAnsi" w:hAnsiTheme="minorHAnsi"/>
                <w:sz w:val="24"/>
                <w:szCs w:val="24"/>
              </w:rPr>
            </w:pPr>
          </w:p>
        </w:tc>
        <w:tc>
          <w:tcPr>
            <w:tcW w:w="3749" w:type="dxa"/>
          </w:tcPr>
          <w:p w14:paraId="522274F3" w14:textId="77777777" w:rsidR="00221776" w:rsidRPr="00333F6B" w:rsidRDefault="00221776" w:rsidP="0016430A">
            <w:pPr>
              <w:rPr>
                <w:rFonts w:asciiTheme="minorHAnsi" w:hAnsiTheme="minorHAnsi"/>
                <w:sz w:val="24"/>
                <w:szCs w:val="24"/>
              </w:rPr>
            </w:pPr>
          </w:p>
        </w:tc>
      </w:tr>
      <w:tr w:rsidR="00221776" w:rsidRPr="00333F6B" w14:paraId="52A278FF" w14:textId="77777777" w:rsidTr="00B64D7E">
        <w:trPr>
          <w:gridAfter w:val="1"/>
          <w:wAfter w:w="71" w:type="dxa"/>
        </w:trPr>
        <w:tc>
          <w:tcPr>
            <w:tcW w:w="2510" w:type="dxa"/>
            <w:gridSpan w:val="3"/>
          </w:tcPr>
          <w:p w14:paraId="3EC90E08" w14:textId="77777777" w:rsidR="00221776" w:rsidRPr="00333F6B" w:rsidRDefault="00221776" w:rsidP="00B64D7E">
            <w:pPr>
              <w:pStyle w:val="Table"/>
            </w:pPr>
            <w:r w:rsidRPr="00333F6B">
              <w:t>ATCO.B.025 (a) (13)</w:t>
            </w:r>
          </w:p>
          <w:p w14:paraId="422C2FEF" w14:textId="51C88457" w:rsidR="00221776" w:rsidRPr="00333F6B" w:rsidRDefault="00221776" w:rsidP="00B64D7E">
            <w:pPr>
              <w:pStyle w:val="Table"/>
            </w:pPr>
            <w:r w:rsidRPr="00333F6B">
              <w:lastRenderedPageBreak/>
              <w:t xml:space="preserve">Procedures for the declaration and the management of cases of provisional inability to exercise the privileges of a licence, as well as for informing </w:t>
            </w:r>
            <w:r w:rsidR="00C66DB2" w:rsidRPr="00333F6B">
              <w:t xml:space="preserve">CAAT </w:t>
            </w:r>
            <w:r w:rsidRPr="00333F6B">
              <w:t>in accordance with ATCO.A.015(d)</w:t>
            </w:r>
          </w:p>
        </w:tc>
        <w:tc>
          <w:tcPr>
            <w:tcW w:w="4211" w:type="dxa"/>
            <w:gridSpan w:val="2"/>
          </w:tcPr>
          <w:p w14:paraId="3437B44C" w14:textId="77777777" w:rsidR="00221776" w:rsidRPr="00333F6B" w:rsidRDefault="00221776" w:rsidP="00B64D7E">
            <w:pPr>
              <w:pStyle w:val="Table"/>
            </w:pPr>
            <w:r w:rsidRPr="00333F6B">
              <w:lastRenderedPageBreak/>
              <w:t>ATCO.A.015</w:t>
            </w:r>
          </w:p>
          <w:p w14:paraId="580CA498" w14:textId="0E564687" w:rsidR="00221776" w:rsidRPr="00333F6B" w:rsidRDefault="00221776" w:rsidP="00B64D7E">
            <w:pPr>
              <w:pStyle w:val="Table"/>
            </w:pPr>
            <w:r w:rsidRPr="00333F6B">
              <w:lastRenderedPageBreak/>
              <w:t xml:space="preserve">(d) Air navigation service providers shall develop and implement objective, transparent and non-discriminatory procedures to enable licence holders declaring provisional inability to exercise the privileges of their licence in accordance with point (b), to declare the provisional inability of the licence holder in accordance with point (c), to manage the operational impact of provisional inability cases and to inform </w:t>
            </w:r>
            <w:r w:rsidR="003A2367" w:rsidRPr="00333F6B">
              <w:t xml:space="preserve">CAAT </w:t>
            </w:r>
            <w:r w:rsidRPr="00333F6B">
              <w:t>as defined in that procedure.</w:t>
            </w:r>
          </w:p>
          <w:p w14:paraId="78134504" w14:textId="77777777" w:rsidR="00221776" w:rsidRPr="00333F6B" w:rsidRDefault="00221776" w:rsidP="00B64D7E">
            <w:pPr>
              <w:pStyle w:val="Table"/>
            </w:pPr>
          </w:p>
          <w:p w14:paraId="164B9694" w14:textId="77777777" w:rsidR="00221776" w:rsidRPr="00333F6B" w:rsidRDefault="00221776" w:rsidP="00B64D7E">
            <w:pPr>
              <w:pStyle w:val="Table"/>
            </w:pPr>
            <w:r w:rsidRPr="00333F6B">
              <w:t>ATCO.A.015</w:t>
            </w:r>
          </w:p>
          <w:p w14:paraId="6CDC636F" w14:textId="77777777" w:rsidR="00221776" w:rsidRPr="00333F6B" w:rsidRDefault="00221776" w:rsidP="00B64D7E">
            <w:pPr>
              <w:pStyle w:val="Table"/>
            </w:pPr>
            <w:r w:rsidRPr="00333F6B">
              <w:t>(b) Licence holders shall not exercise the privileges of their licence when having doubts of being able to safely exercise the privileges of the licence and shall in such cases immediately notify the relevant air navigation service provider of the provisional inability to exercise the privileges of their licence.</w:t>
            </w:r>
          </w:p>
          <w:p w14:paraId="5DDF97F4" w14:textId="77777777" w:rsidR="00221776" w:rsidRPr="00333F6B" w:rsidRDefault="00221776" w:rsidP="00B64D7E">
            <w:pPr>
              <w:pStyle w:val="Table"/>
            </w:pPr>
          </w:p>
          <w:p w14:paraId="65D54494" w14:textId="77777777" w:rsidR="00221776" w:rsidRPr="00333F6B" w:rsidRDefault="00221776" w:rsidP="00B64D7E">
            <w:pPr>
              <w:pStyle w:val="Table"/>
            </w:pPr>
            <w:r w:rsidRPr="00333F6B">
              <w:t>ATCO.A.015</w:t>
            </w:r>
          </w:p>
          <w:p w14:paraId="41B4D2E8" w14:textId="77777777" w:rsidR="00221776" w:rsidRPr="00333F6B" w:rsidRDefault="00221776" w:rsidP="00B64D7E">
            <w:pPr>
              <w:pStyle w:val="Table"/>
            </w:pPr>
            <w:r w:rsidRPr="00333F6B">
              <w:t xml:space="preserve">(c) Air navigation service providers may declare the provisional inability of the </w:t>
            </w:r>
            <w:r w:rsidRPr="00333F6B">
              <w:lastRenderedPageBreak/>
              <w:t>licence holder if they become aware of any doubt concerning the ability of the licence holder to safely exercise the privileges of the licence.</w:t>
            </w:r>
          </w:p>
        </w:tc>
        <w:tc>
          <w:tcPr>
            <w:tcW w:w="2897" w:type="dxa"/>
            <w:gridSpan w:val="3"/>
          </w:tcPr>
          <w:p w14:paraId="510BF2C2" w14:textId="77777777" w:rsidR="00221776" w:rsidRPr="00333F6B" w:rsidRDefault="00221776" w:rsidP="00B64D7E">
            <w:pPr>
              <w:pStyle w:val="Table"/>
            </w:pPr>
            <w:r w:rsidRPr="00333F6B">
              <w:lastRenderedPageBreak/>
              <w:t xml:space="preserve">Does the UCS include the requirements for the declaration and </w:t>
            </w:r>
            <w:r w:rsidRPr="00333F6B">
              <w:lastRenderedPageBreak/>
              <w:t>management of provisional inability?</w:t>
            </w:r>
          </w:p>
        </w:tc>
        <w:tc>
          <w:tcPr>
            <w:tcW w:w="596" w:type="dxa"/>
          </w:tcPr>
          <w:p w14:paraId="526CEC92" w14:textId="77777777" w:rsidR="00221776" w:rsidRPr="00333F6B" w:rsidRDefault="00221776" w:rsidP="00B64D7E">
            <w:pPr>
              <w:pStyle w:val="Table"/>
            </w:pPr>
          </w:p>
        </w:tc>
        <w:tc>
          <w:tcPr>
            <w:tcW w:w="3749" w:type="dxa"/>
          </w:tcPr>
          <w:p w14:paraId="37BC6CB0" w14:textId="77777777" w:rsidR="00221776" w:rsidRPr="00333F6B" w:rsidRDefault="00221776" w:rsidP="00B64D7E">
            <w:pPr>
              <w:pStyle w:val="Table"/>
            </w:pPr>
          </w:p>
        </w:tc>
      </w:tr>
      <w:tr w:rsidR="00221776" w:rsidRPr="00333F6B" w14:paraId="07E7C914" w14:textId="77777777" w:rsidTr="00852CC6">
        <w:trPr>
          <w:gridAfter w:val="1"/>
          <w:wAfter w:w="73" w:type="dxa"/>
        </w:trPr>
        <w:tc>
          <w:tcPr>
            <w:tcW w:w="2479" w:type="dxa"/>
            <w:gridSpan w:val="2"/>
          </w:tcPr>
          <w:p w14:paraId="36EE31E1" w14:textId="77777777" w:rsidR="00221776" w:rsidRPr="00333F6B" w:rsidRDefault="00221776" w:rsidP="00B64D7E">
            <w:pPr>
              <w:pStyle w:val="Table"/>
            </w:pPr>
            <w:bookmarkStart w:id="1" w:name="_Hlk521058005"/>
            <w:r w:rsidRPr="00333F6B">
              <w:lastRenderedPageBreak/>
              <w:t>ATCO.B.025 (a) (14)</w:t>
            </w:r>
          </w:p>
          <w:p w14:paraId="6AFC43C0" w14:textId="77777777" w:rsidR="00221776" w:rsidRPr="00333F6B" w:rsidRDefault="00221776" w:rsidP="00B64D7E">
            <w:pPr>
              <w:pStyle w:val="Table"/>
            </w:pPr>
            <w:r w:rsidRPr="00333F6B">
              <w:t>identification of records to be kept specific to continuation training and assessments, in accordance with ATCO.OR C.020.</w:t>
            </w:r>
          </w:p>
        </w:tc>
        <w:tc>
          <w:tcPr>
            <w:tcW w:w="4240" w:type="dxa"/>
            <w:gridSpan w:val="3"/>
          </w:tcPr>
          <w:p w14:paraId="6AC013BC" w14:textId="77777777" w:rsidR="00221776" w:rsidRPr="00333F6B" w:rsidRDefault="00221776" w:rsidP="00B64D7E">
            <w:pPr>
              <w:pStyle w:val="Table"/>
            </w:pPr>
            <w:r w:rsidRPr="00333F6B">
              <w:t>ATCO.OR.C.020 Record keeping</w:t>
            </w:r>
          </w:p>
          <w:p w14:paraId="65C1FE38" w14:textId="77777777" w:rsidR="00221776" w:rsidRPr="00333F6B" w:rsidRDefault="00221776" w:rsidP="00B64D7E">
            <w:pPr>
              <w:pStyle w:val="Table"/>
            </w:pPr>
            <w:r w:rsidRPr="00333F6B">
              <w:t>(a) Training organisations shall retain detailed records of persons undertaking or having undertaken training to show that all requirements of the training courses have been met.</w:t>
            </w:r>
          </w:p>
          <w:p w14:paraId="5E428BE6" w14:textId="77777777" w:rsidR="00221776" w:rsidRPr="00333F6B" w:rsidRDefault="00221776" w:rsidP="00B64D7E">
            <w:pPr>
              <w:pStyle w:val="Table"/>
            </w:pPr>
          </w:p>
        </w:tc>
        <w:tc>
          <w:tcPr>
            <w:tcW w:w="2897" w:type="dxa"/>
            <w:gridSpan w:val="3"/>
          </w:tcPr>
          <w:p w14:paraId="39FDE36D" w14:textId="77777777" w:rsidR="00221776" w:rsidRPr="00333F6B" w:rsidRDefault="00221776" w:rsidP="00B64D7E">
            <w:pPr>
              <w:pStyle w:val="Table"/>
            </w:pPr>
            <w:r w:rsidRPr="00333F6B">
              <w:t>Does the UCS identify such records?</w:t>
            </w:r>
          </w:p>
        </w:tc>
        <w:tc>
          <w:tcPr>
            <w:tcW w:w="596" w:type="dxa"/>
          </w:tcPr>
          <w:p w14:paraId="5C0AA383" w14:textId="77777777" w:rsidR="00221776" w:rsidRPr="00333F6B" w:rsidRDefault="00221776" w:rsidP="00B64D7E">
            <w:pPr>
              <w:pStyle w:val="Table"/>
            </w:pPr>
          </w:p>
        </w:tc>
        <w:tc>
          <w:tcPr>
            <w:tcW w:w="3749" w:type="dxa"/>
          </w:tcPr>
          <w:p w14:paraId="1F2FCD68" w14:textId="77777777" w:rsidR="00221776" w:rsidRPr="00333F6B" w:rsidRDefault="00221776" w:rsidP="00B64D7E">
            <w:pPr>
              <w:pStyle w:val="Table"/>
            </w:pPr>
          </w:p>
        </w:tc>
      </w:tr>
      <w:tr w:rsidR="00221776" w:rsidRPr="00333F6B" w14:paraId="4304C69B" w14:textId="77777777" w:rsidTr="00852CC6">
        <w:trPr>
          <w:gridAfter w:val="1"/>
          <w:wAfter w:w="73" w:type="dxa"/>
        </w:trPr>
        <w:tc>
          <w:tcPr>
            <w:tcW w:w="2479" w:type="dxa"/>
            <w:gridSpan w:val="2"/>
          </w:tcPr>
          <w:p w14:paraId="6219C3E1" w14:textId="77777777" w:rsidR="00221776" w:rsidRPr="00333F6B" w:rsidRDefault="00221776" w:rsidP="00B64D7E">
            <w:pPr>
              <w:pStyle w:val="Table"/>
            </w:pPr>
            <w:r w:rsidRPr="00333F6B">
              <w:t>ATCO.B.025 (a) (15)</w:t>
            </w:r>
          </w:p>
          <w:p w14:paraId="117C70BF" w14:textId="76295941" w:rsidR="00221776" w:rsidRPr="00333F6B" w:rsidRDefault="00221776" w:rsidP="00B64D7E">
            <w:pPr>
              <w:pStyle w:val="Table"/>
            </w:pPr>
            <w:r w:rsidRPr="00333F6B">
              <w:t xml:space="preserve">Process and reasons for reviewing and amending the unit competence scheme and its submission to </w:t>
            </w:r>
            <w:r w:rsidR="00326610" w:rsidRPr="00333F6B">
              <w:t>CAAT</w:t>
            </w:r>
            <w:r w:rsidRPr="00333F6B">
              <w:t xml:space="preserve">. </w:t>
            </w:r>
          </w:p>
        </w:tc>
        <w:tc>
          <w:tcPr>
            <w:tcW w:w="4240" w:type="dxa"/>
            <w:gridSpan w:val="3"/>
          </w:tcPr>
          <w:p w14:paraId="6DFE1957" w14:textId="77777777" w:rsidR="00221776" w:rsidRPr="00333F6B" w:rsidRDefault="00221776" w:rsidP="00B64D7E">
            <w:pPr>
              <w:pStyle w:val="Table"/>
            </w:pPr>
            <w:r w:rsidRPr="00333F6B">
              <w:t>The review of the unit competence scheme shall take place at least once every three years.</w:t>
            </w:r>
          </w:p>
        </w:tc>
        <w:tc>
          <w:tcPr>
            <w:tcW w:w="2897" w:type="dxa"/>
            <w:gridSpan w:val="3"/>
          </w:tcPr>
          <w:p w14:paraId="481F0329" w14:textId="2220AA96" w:rsidR="00221776" w:rsidRPr="00333F6B" w:rsidRDefault="00221776" w:rsidP="00B64D7E">
            <w:pPr>
              <w:pStyle w:val="Table"/>
            </w:pPr>
            <w:r w:rsidRPr="00333F6B">
              <w:t xml:space="preserve">Does the UCS detail a process for reviewing the UCS and its submission to </w:t>
            </w:r>
            <w:r w:rsidR="000707E9" w:rsidRPr="00333F6B">
              <w:t>CAAT</w:t>
            </w:r>
            <w:r w:rsidRPr="00333F6B">
              <w:t xml:space="preserve"> for approval if amendments have been made.</w:t>
            </w:r>
          </w:p>
        </w:tc>
        <w:tc>
          <w:tcPr>
            <w:tcW w:w="596" w:type="dxa"/>
          </w:tcPr>
          <w:p w14:paraId="68C90CBD" w14:textId="77777777" w:rsidR="00221776" w:rsidRPr="00333F6B" w:rsidRDefault="00221776" w:rsidP="00B64D7E">
            <w:pPr>
              <w:pStyle w:val="Table"/>
            </w:pPr>
          </w:p>
        </w:tc>
        <w:tc>
          <w:tcPr>
            <w:tcW w:w="3749" w:type="dxa"/>
          </w:tcPr>
          <w:p w14:paraId="03FAAE7E" w14:textId="77777777" w:rsidR="00221776" w:rsidRPr="00333F6B" w:rsidRDefault="00221776" w:rsidP="00B64D7E">
            <w:pPr>
              <w:pStyle w:val="Table"/>
            </w:pPr>
          </w:p>
        </w:tc>
      </w:tr>
      <w:bookmarkEnd w:id="1"/>
    </w:tbl>
    <w:p w14:paraId="2943EFF1" w14:textId="77777777" w:rsidR="00221776" w:rsidRPr="00333F6B" w:rsidRDefault="00221776" w:rsidP="00221776">
      <w:pPr>
        <w:rPr>
          <w:rFonts w:asciiTheme="minorHAnsi" w:hAnsiTheme="minorHAnsi"/>
          <w:sz w:val="24"/>
          <w:szCs w:val="24"/>
        </w:rPr>
      </w:pPr>
    </w:p>
    <w:tbl>
      <w:tblPr>
        <w:tblStyle w:val="TableGrid"/>
        <w:tblW w:w="13961" w:type="dxa"/>
        <w:tblLook w:val="04A0" w:firstRow="1" w:lastRow="0" w:firstColumn="1" w:lastColumn="0" w:noHBand="0" w:noVBand="1"/>
      </w:tblPr>
      <w:tblGrid>
        <w:gridCol w:w="2480"/>
        <w:gridCol w:w="4241"/>
        <w:gridCol w:w="2896"/>
        <w:gridCol w:w="596"/>
        <w:gridCol w:w="3748"/>
      </w:tblGrid>
      <w:tr w:rsidR="00221776" w:rsidRPr="00333F6B" w14:paraId="61ECBC0C" w14:textId="77777777" w:rsidTr="00852CC6">
        <w:tc>
          <w:tcPr>
            <w:tcW w:w="2480" w:type="dxa"/>
          </w:tcPr>
          <w:p w14:paraId="70B37C95" w14:textId="77777777" w:rsidR="00221776" w:rsidRPr="00333F6B" w:rsidRDefault="00221776" w:rsidP="00B64D7E">
            <w:pPr>
              <w:pStyle w:val="Table"/>
            </w:pPr>
            <w:r w:rsidRPr="00333F6B">
              <w:t>ATCO.D.080 (b)</w:t>
            </w:r>
          </w:p>
          <w:p w14:paraId="3932CACD" w14:textId="1B137F96" w:rsidR="00221776" w:rsidRPr="00333F6B" w:rsidRDefault="00221776" w:rsidP="00B64D7E">
            <w:pPr>
              <w:pStyle w:val="Table"/>
              <w:rPr>
                <w:rFonts w:asciiTheme="minorHAnsi" w:hAnsiTheme="minorHAnsi"/>
                <w:sz w:val="24"/>
                <w:szCs w:val="24"/>
              </w:rPr>
            </w:pPr>
            <w:r w:rsidRPr="00333F6B">
              <w:t xml:space="preserve">Refresher training shall be designed to review, reinforce or enhance the existing knowledge and skills </w:t>
            </w:r>
            <w:r w:rsidRPr="00333F6B">
              <w:lastRenderedPageBreak/>
              <w:t xml:space="preserve">of air traffic controllers to provide a safe, orderly and expeditious flow of air traffic and shall contain at least these subject areas in the syllabus. </w:t>
            </w:r>
          </w:p>
        </w:tc>
        <w:tc>
          <w:tcPr>
            <w:tcW w:w="4241" w:type="dxa"/>
          </w:tcPr>
          <w:p w14:paraId="6C9AEF70" w14:textId="77777777" w:rsidR="00221776" w:rsidRPr="00333F6B" w:rsidRDefault="00221776" w:rsidP="00B64D7E">
            <w:pPr>
              <w:pStyle w:val="Table"/>
            </w:pPr>
            <w:r w:rsidRPr="00333F6B">
              <w:lastRenderedPageBreak/>
              <w:t>Syllabus content.</w:t>
            </w:r>
          </w:p>
          <w:p w14:paraId="0EE09B25" w14:textId="77777777" w:rsidR="00221776" w:rsidRPr="00333F6B" w:rsidRDefault="00221776" w:rsidP="00B64D7E">
            <w:pPr>
              <w:pStyle w:val="Table"/>
            </w:pPr>
            <w:r w:rsidRPr="00333F6B">
              <w:t>(1) Standard practices and procedures training, using approved phraseology and effective communication;</w:t>
            </w:r>
          </w:p>
          <w:p w14:paraId="59AC8CDE" w14:textId="77777777" w:rsidR="00221776" w:rsidRPr="00333F6B" w:rsidRDefault="00221776" w:rsidP="00B64D7E">
            <w:pPr>
              <w:pStyle w:val="Table"/>
            </w:pPr>
          </w:p>
          <w:p w14:paraId="4BA503DA" w14:textId="77777777" w:rsidR="00221776" w:rsidRPr="00333F6B" w:rsidRDefault="00221776" w:rsidP="00B64D7E">
            <w:pPr>
              <w:pStyle w:val="Table"/>
            </w:pPr>
            <w:r w:rsidRPr="00333F6B">
              <w:lastRenderedPageBreak/>
              <w:t>(2) Abnormal and emergency situations training, using approved phraseology and effective communication</w:t>
            </w:r>
          </w:p>
          <w:p w14:paraId="1491AEEB" w14:textId="77777777" w:rsidR="00221776" w:rsidRPr="00333F6B" w:rsidRDefault="00221776" w:rsidP="00B64D7E">
            <w:pPr>
              <w:pStyle w:val="Table"/>
            </w:pPr>
          </w:p>
          <w:p w14:paraId="33F0365A" w14:textId="77777777" w:rsidR="00221776" w:rsidRPr="00333F6B" w:rsidRDefault="00221776" w:rsidP="00B64D7E">
            <w:pPr>
              <w:pStyle w:val="Table"/>
            </w:pPr>
            <w:r w:rsidRPr="00333F6B">
              <w:t>(3) Human factors training</w:t>
            </w:r>
          </w:p>
          <w:p w14:paraId="2161F164" w14:textId="77777777" w:rsidR="00221776" w:rsidRPr="00333F6B" w:rsidRDefault="00221776" w:rsidP="00852CC6">
            <w:pPr>
              <w:jc w:val="left"/>
              <w:rPr>
                <w:rFonts w:asciiTheme="minorHAnsi" w:hAnsiTheme="minorHAnsi"/>
                <w:sz w:val="24"/>
                <w:szCs w:val="24"/>
              </w:rPr>
            </w:pPr>
          </w:p>
        </w:tc>
        <w:tc>
          <w:tcPr>
            <w:tcW w:w="2896" w:type="dxa"/>
          </w:tcPr>
          <w:p w14:paraId="457642E0" w14:textId="77777777" w:rsidR="00221776" w:rsidRPr="00333F6B" w:rsidRDefault="00221776" w:rsidP="00B64D7E">
            <w:pPr>
              <w:pStyle w:val="Table"/>
            </w:pPr>
            <w:r w:rsidRPr="00333F6B">
              <w:lastRenderedPageBreak/>
              <w:t>Has a refresher training syllabus been developed that includes, as a minimum these subject areas?</w:t>
            </w:r>
          </w:p>
        </w:tc>
        <w:tc>
          <w:tcPr>
            <w:tcW w:w="596" w:type="dxa"/>
          </w:tcPr>
          <w:p w14:paraId="64F05208" w14:textId="77777777" w:rsidR="00221776" w:rsidRPr="00333F6B" w:rsidRDefault="00221776" w:rsidP="00B64D7E">
            <w:pPr>
              <w:pStyle w:val="Table"/>
            </w:pPr>
          </w:p>
        </w:tc>
        <w:tc>
          <w:tcPr>
            <w:tcW w:w="3748" w:type="dxa"/>
          </w:tcPr>
          <w:p w14:paraId="7287E1C2" w14:textId="77777777" w:rsidR="00221776" w:rsidRPr="00333F6B" w:rsidRDefault="00221776" w:rsidP="00B64D7E">
            <w:pPr>
              <w:pStyle w:val="Table"/>
            </w:pPr>
          </w:p>
        </w:tc>
      </w:tr>
      <w:tr w:rsidR="00221776" w:rsidRPr="00333F6B" w14:paraId="03017DE5" w14:textId="77777777" w:rsidTr="00B64D7E">
        <w:trPr>
          <w:trHeight w:val="4223"/>
        </w:trPr>
        <w:tc>
          <w:tcPr>
            <w:tcW w:w="2480" w:type="dxa"/>
          </w:tcPr>
          <w:p w14:paraId="51F6F9D7" w14:textId="77777777" w:rsidR="00221776" w:rsidRPr="00333F6B" w:rsidRDefault="00221776" w:rsidP="00B64D7E">
            <w:pPr>
              <w:pStyle w:val="Table"/>
            </w:pPr>
            <w:r w:rsidRPr="00333F6B">
              <w:t>ATCO.D.080 (b) (1) (2)</w:t>
            </w:r>
          </w:p>
          <w:p w14:paraId="24A38EC4" w14:textId="77777777" w:rsidR="00221776" w:rsidRPr="00333F6B" w:rsidRDefault="00221776" w:rsidP="00B64D7E">
            <w:pPr>
              <w:pStyle w:val="Table"/>
            </w:pPr>
            <w:r w:rsidRPr="00333F6B">
              <w:t>(1) standard practices and procedures training, using approved phraseology and effective communication;</w:t>
            </w:r>
          </w:p>
          <w:p w14:paraId="32585EF9" w14:textId="77777777" w:rsidR="00221776" w:rsidRPr="00333F6B" w:rsidRDefault="00221776" w:rsidP="00B64D7E">
            <w:pPr>
              <w:pStyle w:val="Table"/>
            </w:pPr>
            <w:r w:rsidRPr="00333F6B">
              <w:t>(2) abnormal and emergency situations training, using approved phraseology and effective communication;</w:t>
            </w:r>
          </w:p>
        </w:tc>
        <w:tc>
          <w:tcPr>
            <w:tcW w:w="4241" w:type="dxa"/>
          </w:tcPr>
          <w:p w14:paraId="03404AAE" w14:textId="77777777" w:rsidR="00221776" w:rsidRPr="00333F6B" w:rsidRDefault="00221776" w:rsidP="00B64D7E">
            <w:pPr>
              <w:pStyle w:val="Table"/>
            </w:pPr>
            <w:r w:rsidRPr="00333F6B">
              <w:t xml:space="preserve">AMC1 ATCO.D.080(b)(1);(2) Phraseology Training </w:t>
            </w:r>
          </w:p>
          <w:p w14:paraId="547DAEFB" w14:textId="77777777" w:rsidR="00221776" w:rsidRPr="00333F6B" w:rsidRDefault="00221776" w:rsidP="00B64D7E">
            <w:pPr>
              <w:pStyle w:val="Table"/>
            </w:pPr>
            <w:r w:rsidRPr="00333F6B">
              <w:t>Training organisations should develop objectives for phraseology refresher training.</w:t>
            </w:r>
          </w:p>
        </w:tc>
        <w:tc>
          <w:tcPr>
            <w:tcW w:w="2896" w:type="dxa"/>
          </w:tcPr>
          <w:p w14:paraId="74AEAEBF" w14:textId="77777777" w:rsidR="00221776" w:rsidRPr="00333F6B" w:rsidRDefault="00221776" w:rsidP="00B64D7E">
            <w:pPr>
              <w:pStyle w:val="Table"/>
            </w:pPr>
            <w:r w:rsidRPr="00333F6B">
              <w:t>Has objectives for phraseology refresher training been developed</w:t>
            </w:r>
          </w:p>
        </w:tc>
        <w:tc>
          <w:tcPr>
            <w:tcW w:w="596" w:type="dxa"/>
          </w:tcPr>
          <w:p w14:paraId="6C72C4E1" w14:textId="77777777" w:rsidR="00221776" w:rsidRPr="00333F6B" w:rsidRDefault="00221776" w:rsidP="00B64D7E">
            <w:pPr>
              <w:pStyle w:val="Table"/>
            </w:pPr>
          </w:p>
        </w:tc>
        <w:tc>
          <w:tcPr>
            <w:tcW w:w="3748" w:type="dxa"/>
          </w:tcPr>
          <w:p w14:paraId="09F7D05F" w14:textId="77777777" w:rsidR="00221776" w:rsidRPr="00333F6B" w:rsidRDefault="00221776" w:rsidP="00B64D7E">
            <w:pPr>
              <w:pStyle w:val="Table"/>
            </w:pPr>
          </w:p>
        </w:tc>
      </w:tr>
    </w:tbl>
    <w:p w14:paraId="6B476233" w14:textId="77777777" w:rsidR="00221776" w:rsidRPr="00333F6B" w:rsidRDefault="00221776" w:rsidP="00221776">
      <w:pPr>
        <w:rPr>
          <w:rFonts w:asciiTheme="minorHAnsi" w:hAnsiTheme="minorHAnsi"/>
          <w:sz w:val="24"/>
          <w:szCs w:val="24"/>
        </w:rPr>
      </w:pPr>
    </w:p>
    <w:p w14:paraId="2C8F3E95" w14:textId="71A5B681" w:rsidR="00221776" w:rsidRPr="00333F6B" w:rsidRDefault="00221776" w:rsidP="00221776">
      <w:pPr>
        <w:rPr>
          <w:rFonts w:asciiTheme="minorHAnsi" w:hAnsiTheme="minorHAnsi"/>
          <w:sz w:val="24"/>
          <w:szCs w:val="24"/>
        </w:rPr>
      </w:pPr>
    </w:p>
    <w:tbl>
      <w:tblPr>
        <w:tblStyle w:val="TableGrid"/>
        <w:tblW w:w="13961" w:type="dxa"/>
        <w:tblLook w:val="04A0" w:firstRow="1" w:lastRow="0" w:firstColumn="1" w:lastColumn="0" w:noHBand="0" w:noVBand="1"/>
      </w:tblPr>
      <w:tblGrid>
        <w:gridCol w:w="2480"/>
        <w:gridCol w:w="4240"/>
        <w:gridCol w:w="2897"/>
        <w:gridCol w:w="596"/>
        <w:gridCol w:w="3748"/>
      </w:tblGrid>
      <w:tr w:rsidR="00221776" w:rsidRPr="00333F6B" w14:paraId="79270BE2" w14:textId="77777777" w:rsidTr="00852CC6">
        <w:tc>
          <w:tcPr>
            <w:tcW w:w="2480" w:type="dxa"/>
          </w:tcPr>
          <w:p w14:paraId="4E47F8F7" w14:textId="77777777" w:rsidR="00221776" w:rsidRPr="00333F6B" w:rsidRDefault="00221776" w:rsidP="00B64D7E">
            <w:pPr>
              <w:pStyle w:val="Table"/>
            </w:pPr>
            <w:bookmarkStart w:id="2" w:name="_Hlk521069954"/>
            <w:r w:rsidRPr="00333F6B">
              <w:t>ATCO.D.080 (b) (2)</w:t>
            </w:r>
          </w:p>
          <w:p w14:paraId="06C9AFA2" w14:textId="77777777" w:rsidR="00221776" w:rsidRPr="00333F6B" w:rsidRDefault="00221776" w:rsidP="00B64D7E">
            <w:pPr>
              <w:pStyle w:val="Table"/>
            </w:pPr>
            <w:r w:rsidRPr="00333F6B">
              <w:lastRenderedPageBreak/>
              <w:t>(2) abnormal and emergency situations training, using approved phraseology and effective communication;</w:t>
            </w:r>
          </w:p>
        </w:tc>
        <w:tc>
          <w:tcPr>
            <w:tcW w:w="4240" w:type="dxa"/>
          </w:tcPr>
          <w:p w14:paraId="02638E01" w14:textId="77777777" w:rsidR="00221776" w:rsidRPr="00333F6B" w:rsidRDefault="00221776" w:rsidP="00B64D7E">
            <w:pPr>
              <w:pStyle w:val="Table"/>
            </w:pPr>
            <w:r w:rsidRPr="00333F6B">
              <w:lastRenderedPageBreak/>
              <w:t>AMC2 ATCO.D.080(b)(2) Refresher training</w:t>
            </w:r>
          </w:p>
          <w:p w14:paraId="404B8006" w14:textId="77777777" w:rsidR="00221776" w:rsidRPr="00333F6B" w:rsidRDefault="00221776" w:rsidP="00B64D7E">
            <w:pPr>
              <w:pStyle w:val="Table"/>
            </w:pPr>
            <w:r w:rsidRPr="00333F6B">
              <w:lastRenderedPageBreak/>
              <w:t>ABNORMAL SITUATION AND EMERGENCY TRAINING</w:t>
            </w:r>
          </w:p>
          <w:p w14:paraId="2B7B40D9" w14:textId="77777777" w:rsidR="00221776" w:rsidRPr="00333F6B" w:rsidRDefault="00221776" w:rsidP="00B64D7E">
            <w:pPr>
              <w:pStyle w:val="Table"/>
            </w:pPr>
            <w:r w:rsidRPr="00333F6B">
              <w:t>Abnormal situation and emergency training should be designed to expose air traffic controllers to circumstances and situations which they do not habitually or commonly experience.</w:t>
            </w:r>
          </w:p>
          <w:p w14:paraId="32738712" w14:textId="77777777" w:rsidR="00221776" w:rsidRPr="00333F6B" w:rsidRDefault="00221776" w:rsidP="00B64D7E">
            <w:pPr>
              <w:pStyle w:val="Table"/>
              <w:rPr>
                <w:i/>
              </w:rPr>
            </w:pPr>
            <w:r w:rsidRPr="00333F6B">
              <w:rPr>
                <w:i/>
              </w:rPr>
              <w:t>The essential difference from an emergency situation is that the element of danger or serious risk is not necessarily present in an abnormal situation.</w:t>
            </w:r>
          </w:p>
        </w:tc>
        <w:tc>
          <w:tcPr>
            <w:tcW w:w="2897" w:type="dxa"/>
          </w:tcPr>
          <w:p w14:paraId="151186E6" w14:textId="77777777" w:rsidR="00221776" w:rsidRPr="00333F6B" w:rsidRDefault="00221776" w:rsidP="00B64D7E">
            <w:pPr>
              <w:pStyle w:val="Table"/>
            </w:pPr>
            <w:r w:rsidRPr="00333F6B">
              <w:lastRenderedPageBreak/>
              <w:t xml:space="preserve">Does the ABES refresher training expose the trainee to circumstances </w:t>
            </w:r>
            <w:r w:rsidRPr="00333F6B">
              <w:lastRenderedPageBreak/>
              <w:t>and situations which they do not habitually or commonly experience?</w:t>
            </w:r>
          </w:p>
        </w:tc>
        <w:tc>
          <w:tcPr>
            <w:tcW w:w="596" w:type="dxa"/>
          </w:tcPr>
          <w:p w14:paraId="5C70D25C" w14:textId="77777777" w:rsidR="00221776" w:rsidRPr="00333F6B" w:rsidRDefault="00221776" w:rsidP="00B64D7E">
            <w:pPr>
              <w:pStyle w:val="Table"/>
            </w:pPr>
          </w:p>
        </w:tc>
        <w:tc>
          <w:tcPr>
            <w:tcW w:w="3748" w:type="dxa"/>
          </w:tcPr>
          <w:p w14:paraId="6F430516" w14:textId="77777777" w:rsidR="00221776" w:rsidRPr="00333F6B" w:rsidRDefault="00221776" w:rsidP="00B64D7E">
            <w:pPr>
              <w:pStyle w:val="Table"/>
            </w:pPr>
          </w:p>
        </w:tc>
      </w:tr>
      <w:tr w:rsidR="00221776" w:rsidRPr="00333F6B" w14:paraId="3633DB16" w14:textId="77777777" w:rsidTr="00852CC6">
        <w:tc>
          <w:tcPr>
            <w:tcW w:w="2480" w:type="dxa"/>
          </w:tcPr>
          <w:p w14:paraId="69FFD6B5" w14:textId="77777777" w:rsidR="00221776" w:rsidRPr="00333F6B" w:rsidRDefault="00221776" w:rsidP="00B64D7E">
            <w:pPr>
              <w:pStyle w:val="Table"/>
            </w:pPr>
            <w:r w:rsidRPr="00333F6B">
              <w:t>ATCO.D.080 (b) (3)</w:t>
            </w:r>
          </w:p>
          <w:p w14:paraId="16DCD677" w14:textId="77777777" w:rsidR="00221776" w:rsidRPr="00333F6B" w:rsidRDefault="00221776" w:rsidP="00B64D7E">
            <w:pPr>
              <w:pStyle w:val="Table"/>
            </w:pPr>
          </w:p>
          <w:p w14:paraId="311C5E9C" w14:textId="77777777" w:rsidR="00221776" w:rsidRPr="00333F6B" w:rsidRDefault="00221776" w:rsidP="00B64D7E">
            <w:pPr>
              <w:pStyle w:val="Table"/>
            </w:pPr>
            <w:r w:rsidRPr="00333F6B">
              <w:rPr>
                <w:rFonts w:cs="Calibri"/>
              </w:rPr>
              <w:t>(3) human factors training</w:t>
            </w:r>
          </w:p>
        </w:tc>
        <w:tc>
          <w:tcPr>
            <w:tcW w:w="4240" w:type="dxa"/>
          </w:tcPr>
          <w:p w14:paraId="2866562C" w14:textId="77777777" w:rsidR="00221776" w:rsidRPr="00333F6B" w:rsidRDefault="00221776" w:rsidP="00B64D7E">
            <w:pPr>
              <w:pStyle w:val="Table"/>
            </w:pPr>
            <w:r w:rsidRPr="00333F6B">
              <w:t>AMC1 ATCO.D.080(b)(3) (a) Refresher training. Human Factors</w:t>
            </w:r>
          </w:p>
          <w:p w14:paraId="7904A51B" w14:textId="77777777" w:rsidR="00221776" w:rsidRPr="00333F6B" w:rsidRDefault="00221776" w:rsidP="00B64D7E">
            <w:pPr>
              <w:pStyle w:val="Table"/>
            </w:pPr>
            <w:r w:rsidRPr="00333F6B">
              <w:t>Training organisations should train air traffic controllers at least in team resource management, fatigue management and stress management.</w:t>
            </w:r>
          </w:p>
        </w:tc>
        <w:tc>
          <w:tcPr>
            <w:tcW w:w="2897" w:type="dxa"/>
          </w:tcPr>
          <w:p w14:paraId="423EF5D1" w14:textId="77777777" w:rsidR="00221776" w:rsidRPr="00333F6B" w:rsidRDefault="00221776" w:rsidP="00B64D7E">
            <w:pPr>
              <w:pStyle w:val="Table"/>
            </w:pPr>
            <w:r w:rsidRPr="00333F6B">
              <w:t>Does the refresher training course include team resource management, fatigue management and stress management?</w:t>
            </w:r>
          </w:p>
        </w:tc>
        <w:tc>
          <w:tcPr>
            <w:tcW w:w="596" w:type="dxa"/>
          </w:tcPr>
          <w:p w14:paraId="04693A41" w14:textId="77777777" w:rsidR="00221776" w:rsidRPr="00333F6B" w:rsidRDefault="00221776" w:rsidP="00B64D7E">
            <w:pPr>
              <w:pStyle w:val="Table"/>
            </w:pPr>
          </w:p>
        </w:tc>
        <w:tc>
          <w:tcPr>
            <w:tcW w:w="3748" w:type="dxa"/>
          </w:tcPr>
          <w:p w14:paraId="53EC9598" w14:textId="77777777" w:rsidR="00221776" w:rsidRPr="00333F6B" w:rsidRDefault="00221776" w:rsidP="00B64D7E">
            <w:pPr>
              <w:pStyle w:val="Table"/>
            </w:pPr>
          </w:p>
        </w:tc>
      </w:tr>
      <w:tr w:rsidR="00221776" w:rsidRPr="00333F6B" w14:paraId="1B07ECF7" w14:textId="77777777" w:rsidTr="00852CC6">
        <w:tc>
          <w:tcPr>
            <w:tcW w:w="2480" w:type="dxa"/>
          </w:tcPr>
          <w:p w14:paraId="7E689FEC" w14:textId="77777777" w:rsidR="00221776" w:rsidRPr="00333F6B" w:rsidRDefault="00221776" w:rsidP="00B64D7E">
            <w:pPr>
              <w:pStyle w:val="Table"/>
            </w:pPr>
            <w:r w:rsidRPr="00333F6B">
              <w:t>ATCO.D.080 (b) (3)</w:t>
            </w:r>
          </w:p>
          <w:p w14:paraId="0ECC2523" w14:textId="77777777" w:rsidR="00221776" w:rsidRPr="00333F6B" w:rsidRDefault="00221776" w:rsidP="00B64D7E">
            <w:pPr>
              <w:pStyle w:val="Table"/>
            </w:pPr>
          </w:p>
          <w:p w14:paraId="48B961B1" w14:textId="77777777" w:rsidR="00221776" w:rsidRPr="00333F6B" w:rsidRDefault="00221776" w:rsidP="00B64D7E">
            <w:pPr>
              <w:pStyle w:val="Table"/>
            </w:pPr>
            <w:r w:rsidRPr="00333F6B">
              <w:rPr>
                <w:rFonts w:cs="Calibri"/>
              </w:rPr>
              <w:t>(3) human factors training</w:t>
            </w:r>
          </w:p>
        </w:tc>
        <w:tc>
          <w:tcPr>
            <w:tcW w:w="4240" w:type="dxa"/>
          </w:tcPr>
          <w:p w14:paraId="0AE5A310" w14:textId="77777777" w:rsidR="00221776" w:rsidRPr="00333F6B" w:rsidRDefault="00221776" w:rsidP="00B64D7E">
            <w:pPr>
              <w:pStyle w:val="Table"/>
            </w:pPr>
            <w:r w:rsidRPr="00333F6B">
              <w:t>AMC1 ATCO.D.080(b)(3) (b)</w:t>
            </w:r>
          </w:p>
          <w:p w14:paraId="26AD5589" w14:textId="77777777" w:rsidR="00221776" w:rsidRPr="00333F6B" w:rsidRDefault="00221776" w:rsidP="00B64D7E">
            <w:pPr>
              <w:pStyle w:val="Table"/>
            </w:pPr>
            <w:r w:rsidRPr="00333F6B">
              <w:t xml:space="preserve">Refresher training. Human Factors </w:t>
            </w:r>
          </w:p>
          <w:p w14:paraId="62B72F80" w14:textId="77777777" w:rsidR="00221776" w:rsidRPr="00333F6B" w:rsidRDefault="00221776" w:rsidP="00B64D7E">
            <w:pPr>
              <w:pStyle w:val="Table"/>
            </w:pPr>
            <w:r w:rsidRPr="00333F6B">
              <w:t>The team resource management training may also make use of STD and/or occurrence case studies.</w:t>
            </w:r>
          </w:p>
        </w:tc>
        <w:tc>
          <w:tcPr>
            <w:tcW w:w="2897" w:type="dxa"/>
          </w:tcPr>
          <w:p w14:paraId="28A62D53" w14:textId="77777777" w:rsidR="00221776" w:rsidRPr="00333F6B" w:rsidRDefault="00221776" w:rsidP="00B64D7E">
            <w:pPr>
              <w:pStyle w:val="Table"/>
            </w:pPr>
            <w:r w:rsidRPr="00333F6B">
              <w:t>Does the refresher training course make use of STD and/or occurrence case studies as part of the resource management training?</w:t>
            </w:r>
          </w:p>
        </w:tc>
        <w:tc>
          <w:tcPr>
            <w:tcW w:w="596" w:type="dxa"/>
          </w:tcPr>
          <w:p w14:paraId="0A258B3E" w14:textId="77777777" w:rsidR="00221776" w:rsidRPr="00333F6B" w:rsidRDefault="00221776" w:rsidP="00B64D7E">
            <w:pPr>
              <w:pStyle w:val="Table"/>
            </w:pPr>
          </w:p>
        </w:tc>
        <w:tc>
          <w:tcPr>
            <w:tcW w:w="3748" w:type="dxa"/>
          </w:tcPr>
          <w:p w14:paraId="5D5B84F1" w14:textId="77777777" w:rsidR="00221776" w:rsidRPr="00333F6B" w:rsidRDefault="00221776" w:rsidP="00B64D7E">
            <w:pPr>
              <w:pStyle w:val="Table"/>
            </w:pPr>
          </w:p>
        </w:tc>
      </w:tr>
      <w:tr w:rsidR="00221776" w:rsidRPr="00333F6B" w14:paraId="7C4B71F5" w14:textId="77777777" w:rsidTr="00852CC6">
        <w:tc>
          <w:tcPr>
            <w:tcW w:w="2480" w:type="dxa"/>
          </w:tcPr>
          <w:p w14:paraId="1A1A8A49" w14:textId="77777777" w:rsidR="00221776" w:rsidRPr="00333F6B" w:rsidRDefault="00221776" w:rsidP="00B64D7E">
            <w:pPr>
              <w:pStyle w:val="Table"/>
            </w:pPr>
            <w:r w:rsidRPr="00333F6B">
              <w:t xml:space="preserve">ATCO.D.090 (a) </w:t>
            </w:r>
          </w:p>
          <w:p w14:paraId="0737E219" w14:textId="77777777" w:rsidR="00221776" w:rsidRPr="00333F6B" w:rsidRDefault="00221776" w:rsidP="00B64D7E">
            <w:pPr>
              <w:pStyle w:val="Table"/>
            </w:pPr>
            <w:r w:rsidRPr="00333F6B">
              <w:lastRenderedPageBreak/>
              <w:t xml:space="preserve">Training of practical instructors shall be developed and provided by training organisations </w:t>
            </w:r>
          </w:p>
        </w:tc>
        <w:tc>
          <w:tcPr>
            <w:tcW w:w="4240" w:type="dxa"/>
          </w:tcPr>
          <w:p w14:paraId="05E988D1" w14:textId="77777777" w:rsidR="00221776" w:rsidRPr="00333F6B" w:rsidRDefault="00221776" w:rsidP="00B64D7E">
            <w:pPr>
              <w:pStyle w:val="Table"/>
            </w:pPr>
            <w:r w:rsidRPr="00333F6B">
              <w:lastRenderedPageBreak/>
              <w:t>ATCO.D.090 (a) (2)</w:t>
            </w:r>
          </w:p>
          <w:p w14:paraId="6B326216" w14:textId="77777777" w:rsidR="00221776" w:rsidRPr="00333F6B" w:rsidRDefault="00221776" w:rsidP="00B64D7E">
            <w:pPr>
              <w:pStyle w:val="Table"/>
            </w:pPr>
            <w:r w:rsidRPr="00333F6B">
              <w:lastRenderedPageBreak/>
              <w:t>shall consist of:  a refresher training course on practical instructional skills;</w:t>
            </w:r>
          </w:p>
        </w:tc>
        <w:tc>
          <w:tcPr>
            <w:tcW w:w="2897" w:type="dxa"/>
          </w:tcPr>
          <w:p w14:paraId="06E9CD9F" w14:textId="19523471" w:rsidR="00221776" w:rsidRPr="00333F6B" w:rsidRDefault="00221776" w:rsidP="00B64D7E">
            <w:pPr>
              <w:pStyle w:val="Table"/>
            </w:pPr>
            <w:r w:rsidRPr="00333F6B">
              <w:lastRenderedPageBreak/>
              <w:t xml:space="preserve">Does the scope of the refresher training course include training for </w:t>
            </w:r>
            <w:r w:rsidR="003F257B" w:rsidRPr="00333F6B">
              <w:t>OJTIs?</w:t>
            </w:r>
          </w:p>
        </w:tc>
        <w:tc>
          <w:tcPr>
            <w:tcW w:w="596" w:type="dxa"/>
          </w:tcPr>
          <w:p w14:paraId="52820854" w14:textId="77777777" w:rsidR="00221776" w:rsidRPr="00333F6B" w:rsidRDefault="00221776" w:rsidP="00B64D7E">
            <w:pPr>
              <w:pStyle w:val="Table"/>
            </w:pPr>
          </w:p>
        </w:tc>
        <w:tc>
          <w:tcPr>
            <w:tcW w:w="3748" w:type="dxa"/>
          </w:tcPr>
          <w:p w14:paraId="618667DD" w14:textId="77777777" w:rsidR="00221776" w:rsidRPr="00333F6B" w:rsidRDefault="00221776" w:rsidP="00B64D7E">
            <w:pPr>
              <w:pStyle w:val="Table"/>
            </w:pPr>
          </w:p>
        </w:tc>
      </w:tr>
    </w:tbl>
    <w:p w14:paraId="755FBAB0" w14:textId="77777777" w:rsidR="00221776" w:rsidRPr="00333F6B" w:rsidRDefault="00221776" w:rsidP="00852CC6">
      <w:pPr>
        <w:spacing w:before="120" w:after="120"/>
        <w:contextualSpacing/>
        <w:jc w:val="left"/>
        <w:rPr>
          <w:rFonts w:asciiTheme="minorHAnsi" w:hAnsiTheme="minorHAnsi"/>
          <w:sz w:val="24"/>
          <w:szCs w:val="24"/>
        </w:rPr>
      </w:pPr>
    </w:p>
    <w:p w14:paraId="7489E759" w14:textId="77777777" w:rsidR="00221776" w:rsidRPr="00333F6B" w:rsidRDefault="00221776" w:rsidP="00852CC6">
      <w:pPr>
        <w:spacing w:before="120" w:after="120"/>
        <w:contextualSpacing/>
        <w:jc w:val="left"/>
        <w:rPr>
          <w:rFonts w:asciiTheme="minorHAnsi" w:hAnsiTheme="minorHAnsi"/>
          <w:sz w:val="24"/>
          <w:szCs w:val="24"/>
        </w:rPr>
      </w:pPr>
      <w:r w:rsidRPr="00333F6B">
        <w:rPr>
          <w:rFonts w:asciiTheme="minorHAnsi" w:hAnsiTheme="minorHAnsi"/>
          <w:sz w:val="24"/>
          <w:szCs w:val="24"/>
        </w:rPr>
        <w:br w:type="page"/>
      </w:r>
    </w:p>
    <w:p w14:paraId="697D3372" w14:textId="77777777" w:rsidR="00221776" w:rsidRPr="00333F6B" w:rsidRDefault="00221776" w:rsidP="00852CC6">
      <w:pPr>
        <w:spacing w:before="120" w:after="120"/>
        <w:contextualSpacing/>
        <w:jc w:val="left"/>
        <w:rPr>
          <w:rFonts w:asciiTheme="minorHAnsi" w:hAnsiTheme="minorHAnsi"/>
          <w:sz w:val="24"/>
          <w:szCs w:val="24"/>
        </w:rPr>
      </w:pPr>
    </w:p>
    <w:tbl>
      <w:tblPr>
        <w:tblStyle w:val="TableGrid"/>
        <w:tblW w:w="13961" w:type="dxa"/>
        <w:tblLook w:val="04A0" w:firstRow="1" w:lastRow="0" w:firstColumn="1" w:lastColumn="0" w:noHBand="0" w:noVBand="1"/>
      </w:tblPr>
      <w:tblGrid>
        <w:gridCol w:w="2479"/>
        <w:gridCol w:w="4239"/>
        <w:gridCol w:w="2897"/>
        <w:gridCol w:w="598"/>
        <w:gridCol w:w="3748"/>
      </w:tblGrid>
      <w:tr w:rsidR="00221776" w:rsidRPr="00333F6B" w14:paraId="391342DE" w14:textId="77777777" w:rsidTr="00221776">
        <w:tc>
          <w:tcPr>
            <w:tcW w:w="13961" w:type="dxa"/>
            <w:gridSpan w:val="5"/>
            <w:shd w:val="clear" w:color="auto" w:fill="D9D9D9" w:themeFill="background1" w:themeFillShade="D9"/>
          </w:tcPr>
          <w:p w14:paraId="032B8ED5" w14:textId="77777777" w:rsidR="00221776" w:rsidRPr="00333F6B" w:rsidRDefault="00221776" w:rsidP="00B64D7E">
            <w:pPr>
              <w:pStyle w:val="TableHeader"/>
              <w:jc w:val="left"/>
            </w:pPr>
            <w:r w:rsidRPr="00333F6B">
              <w:t>THIS SECTION ONLY APPLICABLE TO UNITS THAT HAVE ASSESSORS</w:t>
            </w:r>
          </w:p>
        </w:tc>
      </w:tr>
      <w:tr w:rsidR="00221776" w:rsidRPr="00333F6B" w14:paraId="17C32C62" w14:textId="77777777" w:rsidTr="00221776">
        <w:tc>
          <w:tcPr>
            <w:tcW w:w="13961" w:type="dxa"/>
            <w:gridSpan w:val="5"/>
            <w:shd w:val="clear" w:color="auto" w:fill="D9D9D9" w:themeFill="background1" w:themeFillShade="D9"/>
          </w:tcPr>
          <w:p w14:paraId="32F90F0D" w14:textId="77777777" w:rsidR="00221776" w:rsidRPr="00333F6B" w:rsidRDefault="00221776" w:rsidP="00B64D7E">
            <w:pPr>
              <w:pStyle w:val="TableHeader"/>
              <w:jc w:val="left"/>
            </w:pPr>
            <w:r w:rsidRPr="00333F6B">
              <w:t>Refresher Training Course Checklist</w:t>
            </w:r>
          </w:p>
        </w:tc>
      </w:tr>
      <w:tr w:rsidR="00221776" w:rsidRPr="00333F6B" w14:paraId="529915C4" w14:textId="77777777" w:rsidTr="0016430A">
        <w:tc>
          <w:tcPr>
            <w:tcW w:w="2483" w:type="dxa"/>
            <w:shd w:val="clear" w:color="auto" w:fill="D9D9D9" w:themeFill="background1" w:themeFillShade="D9"/>
          </w:tcPr>
          <w:p w14:paraId="358A6A18" w14:textId="77777777" w:rsidR="00221776" w:rsidRPr="00333F6B" w:rsidRDefault="00221776" w:rsidP="00B64D7E">
            <w:pPr>
              <w:pStyle w:val="TableHeader"/>
            </w:pPr>
            <w:r w:rsidRPr="00333F6B">
              <w:t>Required Content</w:t>
            </w:r>
          </w:p>
        </w:tc>
        <w:tc>
          <w:tcPr>
            <w:tcW w:w="4249" w:type="dxa"/>
            <w:shd w:val="clear" w:color="auto" w:fill="D9D9D9" w:themeFill="background1" w:themeFillShade="D9"/>
          </w:tcPr>
          <w:p w14:paraId="1A14E0EE" w14:textId="77777777" w:rsidR="00221776" w:rsidRPr="00333F6B" w:rsidRDefault="00221776" w:rsidP="00B64D7E">
            <w:pPr>
              <w:pStyle w:val="TableHeader"/>
            </w:pPr>
            <w:r w:rsidRPr="00333F6B">
              <w:t>Detailed content</w:t>
            </w:r>
          </w:p>
        </w:tc>
        <w:tc>
          <w:tcPr>
            <w:tcW w:w="2902" w:type="dxa"/>
            <w:shd w:val="clear" w:color="auto" w:fill="D9D9D9" w:themeFill="background1" w:themeFillShade="D9"/>
          </w:tcPr>
          <w:p w14:paraId="2E05C581" w14:textId="77777777" w:rsidR="00221776" w:rsidRPr="00333F6B" w:rsidRDefault="00221776" w:rsidP="00B64D7E">
            <w:pPr>
              <w:pStyle w:val="TableHeader"/>
            </w:pPr>
            <w:r w:rsidRPr="00333F6B">
              <w:t>Question</w:t>
            </w:r>
          </w:p>
        </w:tc>
        <w:tc>
          <w:tcPr>
            <w:tcW w:w="567" w:type="dxa"/>
            <w:shd w:val="clear" w:color="auto" w:fill="D9D9D9" w:themeFill="background1" w:themeFillShade="D9"/>
          </w:tcPr>
          <w:p w14:paraId="2E76C4CC" w14:textId="77777777" w:rsidR="00221776" w:rsidRPr="00333F6B" w:rsidRDefault="00221776" w:rsidP="00B64D7E">
            <w:pPr>
              <w:pStyle w:val="TableHeader"/>
            </w:pPr>
            <w:r w:rsidRPr="00333F6B">
              <w:t>Y/N</w:t>
            </w:r>
          </w:p>
        </w:tc>
        <w:tc>
          <w:tcPr>
            <w:tcW w:w="3760" w:type="dxa"/>
            <w:shd w:val="clear" w:color="auto" w:fill="D9D9D9" w:themeFill="background1" w:themeFillShade="D9"/>
          </w:tcPr>
          <w:p w14:paraId="1D68A545" w14:textId="77777777" w:rsidR="00221776" w:rsidRPr="00333F6B" w:rsidRDefault="00221776" w:rsidP="00B64D7E">
            <w:pPr>
              <w:pStyle w:val="TableHeader"/>
            </w:pPr>
            <w:r w:rsidRPr="00333F6B">
              <w:t>Notes</w:t>
            </w:r>
          </w:p>
        </w:tc>
      </w:tr>
      <w:tr w:rsidR="00221776" w:rsidRPr="00333F6B" w14:paraId="372CA7FB" w14:textId="77777777" w:rsidTr="0016430A">
        <w:tc>
          <w:tcPr>
            <w:tcW w:w="2483" w:type="dxa"/>
          </w:tcPr>
          <w:p w14:paraId="55E4E7E7" w14:textId="77777777" w:rsidR="00221776" w:rsidRPr="00333F6B" w:rsidRDefault="00221776" w:rsidP="00B64D7E">
            <w:pPr>
              <w:pStyle w:val="Table"/>
            </w:pPr>
            <w:r w:rsidRPr="00333F6B">
              <w:t xml:space="preserve">ATCO.D.095 (a) </w:t>
            </w:r>
          </w:p>
          <w:p w14:paraId="49A171BE" w14:textId="77777777" w:rsidR="00221776" w:rsidRPr="00333F6B" w:rsidRDefault="00221776" w:rsidP="00B64D7E">
            <w:pPr>
              <w:pStyle w:val="Table"/>
            </w:pPr>
            <w:r w:rsidRPr="00333F6B">
              <w:t>Training of Assessors shall be developed and provided by training organisations</w:t>
            </w:r>
          </w:p>
        </w:tc>
        <w:tc>
          <w:tcPr>
            <w:tcW w:w="4249" w:type="dxa"/>
          </w:tcPr>
          <w:p w14:paraId="51956448" w14:textId="77777777" w:rsidR="00221776" w:rsidRPr="00333F6B" w:rsidRDefault="00221776" w:rsidP="00B64D7E">
            <w:pPr>
              <w:pStyle w:val="Table"/>
            </w:pPr>
            <w:r w:rsidRPr="00333F6B">
              <w:t>ATCO.D.095 (a) (2)</w:t>
            </w:r>
          </w:p>
          <w:p w14:paraId="6B350B53" w14:textId="77777777" w:rsidR="00221776" w:rsidRPr="00333F6B" w:rsidRDefault="00221776" w:rsidP="00B64D7E">
            <w:pPr>
              <w:pStyle w:val="Table"/>
            </w:pPr>
            <w:r w:rsidRPr="00333F6B">
              <w:t>Shall consist of:  a refresher training course on assessment skills.</w:t>
            </w:r>
          </w:p>
          <w:p w14:paraId="6D0061F1" w14:textId="77777777" w:rsidR="00221776" w:rsidRPr="00333F6B" w:rsidRDefault="00221776" w:rsidP="00B64D7E">
            <w:pPr>
              <w:pStyle w:val="Table"/>
            </w:pPr>
          </w:p>
        </w:tc>
        <w:tc>
          <w:tcPr>
            <w:tcW w:w="2902" w:type="dxa"/>
          </w:tcPr>
          <w:p w14:paraId="42BA3EE1" w14:textId="77777777" w:rsidR="00221776" w:rsidRPr="00333F6B" w:rsidRDefault="00221776" w:rsidP="00B64D7E">
            <w:pPr>
              <w:pStyle w:val="Table"/>
            </w:pPr>
            <w:r w:rsidRPr="00333F6B">
              <w:t>Does the scope of the refresher training course include training for Assessors?</w:t>
            </w:r>
          </w:p>
        </w:tc>
        <w:tc>
          <w:tcPr>
            <w:tcW w:w="567" w:type="dxa"/>
          </w:tcPr>
          <w:p w14:paraId="7E0B1FF7" w14:textId="77777777" w:rsidR="00221776" w:rsidRPr="00333F6B" w:rsidRDefault="00221776" w:rsidP="00B64D7E">
            <w:pPr>
              <w:pStyle w:val="Table"/>
            </w:pPr>
          </w:p>
        </w:tc>
        <w:tc>
          <w:tcPr>
            <w:tcW w:w="3760" w:type="dxa"/>
          </w:tcPr>
          <w:p w14:paraId="0BD64BF5" w14:textId="77777777" w:rsidR="00221776" w:rsidRPr="00333F6B" w:rsidRDefault="00221776" w:rsidP="00B64D7E">
            <w:pPr>
              <w:pStyle w:val="Table"/>
            </w:pPr>
          </w:p>
        </w:tc>
      </w:tr>
      <w:tr w:rsidR="00221776" w:rsidRPr="00333F6B" w14:paraId="58DAC401" w14:textId="77777777" w:rsidTr="0016430A">
        <w:tc>
          <w:tcPr>
            <w:tcW w:w="2483" w:type="dxa"/>
          </w:tcPr>
          <w:p w14:paraId="473527F1" w14:textId="77777777" w:rsidR="00221776" w:rsidRPr="00333F6B" w:rsidRDefault="00221776" w:rsidP="00B64D7E">
            <w:pPr>
              <w:pStyle w:val="Table"/>
            </w:pPr>
            <w:r w:rsidRPr="00333F6B">
              <w:t xml:space="preserve">ATCO.D.095 (a) </w:t>
            </w:r>
          </w:p>
          <w:p w14:paraId="5D4A27A2" w14:textId="77777777" w:rsidR="00221776" w:rsidRPr="00333F6B" w:rsidRDefault="00221776" w:rsidP="00B64D7E">
            <w:pPr>
              <w:pStyle w:val="Table"/>
            </w:pPr>
            <w:r w:rsidRPr="00333F6B">
              <w:t>Training of Assessors shall be developed and provided by training organisations</w:t>
            </w:r>
          </w:p>
        </w:tc>
        <w:tc>
          <w:tcPr>
            <w:tcW w:w="4249" w:type="dxa"/>
          </w:tcPr>
          <w:p w14:paraId="00DF5EF4" w14:textId="77777777" w:rsidR="00221776" w:rsidRPr="00333F6B" w:rsidRDefault="00221776" w:rsidP="00B64D7E">
            <w:pPr>
              <w:pStyle w:val="Table"/>
            </w:pPr>
            <w:r w:rsidRPr="00333F6B">
              <w:t>AMC1 ATCO.D.095(a)(2) Training of assessors. Refresher Training in Assessment Skills.</w:t>
            </w:r>
          </w:p>
          <w:p w14:paraId="144A55BD" w14:textId="77777777" w:rsidR="00221776" w:rsidRPr="00333F6B" w:rsidRDefault="00221776" w:rsidP="00B64D7E">
            <w:pPr>
              <w:pStyle w:val="Table"/>
            </w:pPr>
            <w:r w:rsidRPr="00333F6B">
              <w:t>Refresher training in assessment skills should prevent knowledge and skills erosion and it should be designed to maintain skills in assessment techniques and awareness of the regulatory environment.</w:t>
            </w:r>
          </w:p>
        </w:tc>
        <w:tc>
          <w:tcPr>
            <w:tcW w:w="2902" w:type="dxa"/>
          </w:tcPr>
          <w:p w14:paraId="02C7F5C1" w14:textId="77777777" w:rsidR="00221776" w:rsidRPr="00333F6B" w:rsidRDefault="00221776" w:rsidP="00B64D7E">
            <w:pPr>
              <w:pStyle w:val="Table"/>
            </w:pPr>
            <w:r w:rsidRPr="00333F6B">
              <w:t>Does the refresher training for assessors meet the requirements of this AMC?</w:t>
            </w:r>
          </w:p>
        </w:tc>
        <w:tc>
          <w:tcPr>
            <w:tcW w:w="567" w:type="dxa"/>
          </w:tcPr>
          <w:p w14:paraId="4C2B8DAB" w14:textId="77777777" w:rsidR="00221776" w:rsidRPr="00333F6B" w:rsidRDefault="00221776" w:rsidP="00B64D7E">
            <w:pPr>
              <w:pStyle w:val="Table"/>
            </w:pPr>
          </w:p>
        </w:tc>
        <w:tc>
          <w:tcPr>
            <w:tcW w:w="3760" w:type="dxa"/>
          </w:tcPr>
          <w:p w14:paraId="3DE6C32F" w14:textId="77777777" w:rsidR="00221776" w:rsidRPr="00333F6B" w:rsidRDefault="00221776" w:rsidP="00B64D7E">
            <w:pPr>
              <w:pStyle w:val="Table"/>
            </w:pPr>
          </w:p>
        </w:tc>
      </w:tr>
      <w:bookmarkEnd w:id="2"/>
    </w:tbl>
    <w:p w14:paraId="5B9E43B6" w14:textId="77777777" w:rsidR="00221776" w:rsidRPr="00333F6B" w:rsidRDefault="00221776" w:rsidP="00852CC6">
      <w:pPr>
        <w:spacing w:before="120" w:after="120"/>
        <w:contextualSpacing/>
        <w:jc w:val="left"/>
        <w:rPr>
          <w:rFonts w:asciiTheme="minorHAnsi" w:hAnsiTheme="minorHAnsi"/>
          <w:sz w:val="24"/>
          <w:szCs w:val="24"/>
        </w:rPr>
      </w:pPr>
    </w:p>
    <w:p w14:paraId="619885CA" w14:textId="77777777" w:rsidR="00221776" w:rsidRPr="00333F6B" w:rsidRDefault="00221776" w:rsidP="00852CC6">
      <w:pPr>
        <w:spacing w:before="120" w:after="120"/>
        <w:contextualSpacing/>
        <w:jc w:val="left"/>
        <w:rPr>
          <w:rFonts w:asciiTheme="minorHAnsi" w:hAnsiTheme="minorHAnsi"/>
          <w:sz w:val="24"/>
          <w:szCs w:val="24"/>
        </w:rPr>
      </w:pPr>
      <w:r w:rsidRPr="00333F6B">
        <w:rPr>
          <w:rFonts w:asciiTheme="minorHAnsi" w:hAnsiTheme="minorHAnsi"/>
          <w:sz w:val="24"/>
          <w:szCs w:val="24"/>
        </w:rPr>
        <w:br w:type="page"/>
      </w:r>
    </w:p>
    <w:p w14:paraId="33518D12" w14:textId="77777777" w:rsidR="00221776" w:rsidRPr="00333F6B" w:rsidRDefault="00221776" w:rsidP="00852CC6">
      <w:pPr>
        <w:spacing w:before="120" w:after="120"/>
        <w:contextualSpacing/>
        <w:jc w:val="left"/>
        <w:rPr>
          <w:rFonts w:asciiTheme="minorHAnsi" w:hAnsiTheme="minorHAnsi"/>
          <w:sz w:val="24"/>
          <w:szCs w:val="24"/>
        </w:rPr>
      </w:pPr>
    </w:p>
    <w:tbl>
      <w:tblPr>
        <w:tblStyle w:val="TableGrid"/>
        <w:tblW w:w="13961" w:type="dxa"/>
        <w:tblLook w:val="04A0" w:firstRow="1" w:lastRow="0" w:firstColumn="1" w:lastColumn="0" w:noHBand="0" w:noVBand="1"/>
      </w:tblPr>
      <w:tblGrid>
        <w:gridCol w:w="13961"/>
      </w:tblGrid>
      <w:tr w:rsidR="00221776" w:rsidRPr="00333F6B" w14:paraId="700BFE88" w14:textId="77777777" w:rsidTr="0016430A">
        <w:tc>
          <w:tcPr>
            <w:tcW w:w="13961" w:type="dxa"/>
            <w:shd w:val="clear" w:color="auto" w:fill="DBDBDB" w:themeFill="accent3" w:themeFillTint="66"/>
          </w:tcPr>
          <w:p w14:paraId="5A9DBA96" w14:textId="77777777" w:rsidR="00221776" w:rsidRPr="00333F6B" w:rsidRDefault="00221776" w:rsidP="00B64D7E">
            <w:pPr>
              <w:pStyle w:val="TableHeader"/>
            </w:pPr>
            <w:r w:rsidRPr="00333F6B">
              <w:t>CONVERSION TRAINING</w:t>
            </w:r>
          </w:p>
        </w:tc>
      </w:tr>
      <w:tr w:rsidR="00221776" w:rsidRPr="00333F6B" w14:paraId="4FB634A0" w14:textId="77777777" w:rsidTr="0016430A">
        <w:tc>
          <w:tcPr>
            <w:tcW w:w="13961" w:type="dxa"/>
          </w:tcPr>
          <w:p w14:paraId="3D7BC15F" w14:textId="6D4DC26B" w:rsidR="00221776" w:rsidRPr="00333F6B" w:rsidRDefault="00221776" w:rsidP="00B64D7E">
            <w:pPr>
              <w:pStyle w:val="Table"/>
            </w:pPr>
            <w:r w:rsidRPr="00333F6B">
              <w:t>Conversion training does not need to be developed or included within the UCS unless there is a change in the operational environment and a safety</w:t>
            </w:r>
            <w:r w:rsidR="00852CC6" w:rsidRPr="00333F6B">
              <w:t xml:space="preserve"> a</w:t>
            </w:r>
            <w:r w:rsidRPr="00333F6B">
              <w:t xml:space="preserve">ssessment </w:t>
            </w:r>
            <w:r w:rsidR="00852CC6" w:rsidRPr="00333F6B">
              <w:t>identifies</w:t>
            </w:r>
            <w:r w:rsidRPr="00333F6B">
              <w:t xml:space="preserve"> the need for such training. Such a change in operating environment which results in a change to the UCS should have been notified to the CAA</w:t>
            </w:r>
            <w:r w:rsidR="00852CC6" w:rsidRPr="00333F6B">
              <w:t>T</w:t>
            </w:r>
            <w:r w:rsidRPr="00333F6B">
              <w:t xml:space="preserve"> as a change that will require prior approval and the following checklist should be used. This will require the re-approval of the UCS to cover the additional content.</w:t>
            </w:r>
          </w:p>
        </w:tc>
      </w:tr>
    </w:tbl>
    <w:p w14:paraId="1C0DB32C" w14:textId="77777777" w:rsidR="00221776" w:rsidRPr="00333F6B" w:rsidRDefault="00221776" w:rsidP="00852CC6">
      <w:pPr>
        <w:spacing w:before="120" w:after="120"/>
        <w:contextualSpacing/>
        <w:jc w:val="left"/>
        <w:rPr>
          <w:rFonts w:asciiTheme="minorHAnsi" w:hAnsiTheme="minorHAnsi"/>
          <w:sz w:val="24"/>
          <w:szCs w:val="24"/>
        </w:rPr>
      </w:pPr>
    </w:p>
    <w:tbl>
      <w:tblPr>
        <w:tblStyle w:val="TableGrid"/>
        <w:tblW w:w="13961" w:type="dxa"/>
        <w:tblLook w:val="04A0" w:firstRow="1" w:lastRow="0" w:firstColumn="1" w:lastColumn="0" w:noHBand="0" w:noVBand="1"/>
      </w:tblPr>
      <w:tblGrid>
        <w:gridCol w:w="2480"/>
        <w:gridCol w:w="4238"/>
        <w:gridCol w:w="2897"/>
        <w:gridCol w:w="598"/>
        <w:gridCol w:w="3748"/>
      </w:tblGrid>
      <w:tr w:rsidR="00221776" w:rsidRPr="00333F6B" w14:paraId="0019DFCF" w14:textId="77777777" w:rsidTr="0016430A">
        <w:tc>
          <w:tcPr>
            <w:tcW w:w="13961" w:type="dxa"/>
            <w:gridSpan w:val="5"/>
            <w:shd w:val="clear" w:color="auto" w:fill="DBDBDB" w:themeFill="accent3" w:themeFillTint="66"/>
          </w:tcPr>
          <w:p w14:paraId="549F58AE" w14:textId="77777777" w:rsidR="00221776" w:rsidRPr="00333F6B" w:rsidRDefault="00221776" w:rsidP="00B64D7E">
            <w:pPr>
              <w:pStyle w:val="Table"/>
            </w:pPr>
            <w:r w:rsidRPr="00333F6B">
              <w:t>ATCO.D.085 Conversion Training Course Checklist</w:t>
            </w:r>
          </w:p>
        </w:tc>
      </w:tr>
      <w:tr w:rsidR="00221776" w:rsidRPr="00333F6B" w14:paraId="4816C0CF" w14:textId="77777777" w:rsidTr="0016430A">
        <w:tc>
          <w:tcPr>
            <w:tcW w:w="2483" w:type="dxa"/>
            <w:shd w:val="clear" w:color="auto" w:fill="D9D9D9" w:themeFill="background1" w:themeFillShade="D9"/>
          </w:tcPr>
          <w:p w14:paraId="7BABBE72" w14:textId="77777777" w:rsidR="00221776" w:rsidRPr="00333F6B" w:rsidRDefault="00221776" w:rsidP="00B64D7E">
            <w:pPr>
              <w:pStyle w:val="TableHeader"/>
            </w:pPr>
            <w:r w:rsidRPr="00333F6B">
              <w:t>Required Content</w:t>
            </w:r>
          </w:p>
        </w:tc>
        <w:tc>
          <w:tcPr>
            <w:tcW w:w="4249" w:type="dxa"/>
            <w:shd w:val="clear" w:color="auto" w:fill="D9D9D9" w:themeFill="background1" w:themeFillShade="D9"/>
          </w:tcPr>
          <w:p w14:paraId="06B608BD" w14:textId="77777777" w:rsidR="00221776" w:rsidRPr="00333F6B" w:rsidRDefault="00221776" w:rsidP="00B64D7E">
            <w:pPr>
              <w:pStyle w:val="TableHeader"/>
            </w:pPr>
            <w:r w:rsidRPr="00333F6B">
              <w:t>Detailed content</w:t>
            </w:r>
          </w:p>
        </w:tc>
        <w:tc>
          <w:tcPr>
            <w:tcW w:w="2902" w:type="dxa"/>
            <w:shd w:val="clear" w:color="auto" w:fill="D9D9D9" w:themeFill="background1" w:themeFillShade="D9"/>
          </w:tcPr>
          <w:p w14:paraId="1079FC60" w14:textId="77777777" w:rsidR="00221776" w:rsidRPr="00333F6B" w:rsidRDefault="00221776" w:rsidP="00B64D7E">
            <w:pPr>
              <w:pStyle w:val="TableHeader"/>
            </w:pPr>
            <w:r w:rsidRPr="00333F6B">
              <w:t>Question</w:t>
            </w:r>
          </w:p>
        </w:tc>
        <w:tc>
          <w:tcPr>
            <w:tcW w:w="567" w:type="dxa"/>
            <w:shd w:val="clear" w:color="auto" w:fill="D9D9D9" w:themeFill="background1" w:themeFillShade="D9"/>
          </w:tcPr>
          <w:p w14:paraId="32D3ADD1" w14:textId="77777777" w:rsidR="00221776" w:rsidRPr="00333F6B" w:rsidRDefault="00221776" w:rsidP="00B64D7E">
            <w:pPr>
              <w:pStyle w:val="TableHeader"/>
            </w:pPr>
            <w:r w:rsidRPr="00333F6B">
              <w:t>Y/N</w:t>
            </w:r>
          </w:p>
        </w:tc>
        <w:tc>
          <w:tcPr>
            <w:tcW w:w="3760" w:type="dxa"/>
            <w:shd w:val="clear" w:color="auto" w:fill="D9D9D9" w:themeFill="background1" w:themeFillShade="D9"/>
          </w:tcPr>
          <w:p w14:paraId="7DBFF494" w14:textId="77777777" w:rsidR="00221776" w:rsidRPr="00333F6B" w:rsidRDefault="00221776" w:rsidP="00B64D7E">
            <w:pPr>
              <w:pStyle w:val="TableHeader"/>
            </w:pPr>
            <w:r w:rsidRPr="00333F6B">
              <w:t>Notes</w:t>
            </w:r>
          </w:p>
        </w:tc>
      </w:tr>
      <w:tr w:rsidR="00221776" w:rsidRPr="00333F6B" w14:paraId="6DBBABE7" w14:textId="77777777" w:rsidTr="0016430A">
        <w:tc>
          <w:tcPr>
            <w:tcW w:w="2483" w:type="dxa"/>
          </w:tcPr>
          <w:p w14:paraId="2BEFA688" w14:textId="77777777" w:rsidR="00221776" w:rsidRPr="00333F6B" w:rsidRDefault="00221776" w:rsidP="00B64D7E">
            <w:pPr>
              <w:pStyle w:val="Table"/>
            </w:pPr>
            <w:r w:rsidRPr="00333F6B">
              <w:t>Conversion training shall be designed to provide knowledge and skills appropriate to a change in the operational environment</w:t>
            </w:r>
          </w:p>
        </w:tc>
        <w:tc>
          <w:tcPr>
            <w:tcW w:w="4249" w:type="dxa"/>
          </w:tcPr>
          <w:p w14:paraId="23D48760" w14:textId="77777777" w:rsidR="00221776" w:rsidRPr="00333F6B" w:rsidRDefault="00221776" w:rsidP="00B64D7E">
            <w:pPr>
              <w:pStyle w:val="Table"/>
              <w:rPr>
                <w:i/>
              </w:rPr>
            </w:pPr>
          </w:p>
        </w:tc>
        <w:tc>
          <w:tcPr>
            <w:tcW w:w="2902" w:type="dxa"/>
          </w:tcPr>
          <w:p w14:paraId="2B5A2ACB" w14:textId="77777777" w:rsidR="00221776" w:rsidRPr="00333F6B" w:rsidRDefault="00221776" w:rsidP="00B64D7E">
            <w:pPr>
              <w:pStyle w:val="Table"/>
            </w:pPr>
            <w:r w:rsidRPr="00333F6B">
              <w:t>Is the conversion training course appropriate to the change in the operational environment?</w:t>
            </w:r>
          </w:p>
        </w:tc>
        <w:tc>
          <w:tcPr>
            <w:tcW w:w="567" w:type="dxa"/>
          </w:tcPr>
          <w:p w14:paraId="3D287B13" w14:textId="77777777" w:rsidR="00221776" w:rsidRPr="00333F6B" w:rsidRDefault="00221776" w:rsidP="00B64D7E">
            <w:pPr>
              <w:pStyle w:val="Table"/>
            </w:pPr>
          </w:p>
        </w:tc>
        <w:tc>
          <w:tcPr>
            <w:tcW w:w="3760" w:type="dxa"/>
          </w:tcPr>
          <w:p w14:paraId="55064CC3" w14:textId="77777777" w:rsidR="00221776" w:rsidRPr="00333F6B" w:rsidRDefault="00221776" w:rsidP="00B64D7E">
            <w:pPr>
              <w:pStyle w:val="Table"/>
            </w:pPr>
          </w:p>
        </w:tc>
      </w:tr>
      <w:tr w:rsidR="00221776" w:rsidRPr="00333F6B" w14:paraId="061B88E5" w14:textId="77777777" w:rsidTr="0016430A">
        <w:tc>
          <w:tcPr>
            <w:tcW w:w="2483" w:type="dxa"/>
          </w:tcPr>
          <w:p w14:paraId="53BEBFAB" w14:textId="77777777" w:rsidR="00221776" w:rsidRPr="00333F6B" w:rsidRDefault="00221776" w:rsidP="00B64D7E">
            <w:pPr>
              <w:pStyle w:val="Table"/>
            </w:pPr>
            <w:r w:rsidRPr="00333F6B">
              <w:t>Conversion training courses shall include the determination of the appropriate training method for and duration of the course</w:t>
            </w:r>
          </w:p>
        </w:tc>
        <w:tc>
          <w:tcPr>
            <w:tcW w:w="4249" w:type="dxa"/>
          </w:tcPr>
          <w:p w14:paraId="57CBDB9C" w14:textId="77777777" w:rsidR="00221776" w:rsidRPr="00333F6B" w:rsidRDefault="00221776" w:rsidP="00B64D7E">
            <w:pPr>
              <w:pStyle w:val="Table"/>
            </w:pPr>
            <w:r w:rsidRPr="00333F6B">
              <w:t>The nature and extent of the change should be considered when determining training methods to be used.</w:t>
            </w:r>
          </w:p>
        </w:tc>
        <w:tc>
          <w:tcPr>
            <w:tcW w:w="2902" w:type="dxa"/>
          </w:tcPr>
          <w:p w14:paraId="42B4DD5E" w14:textId="77777777" w:rsidR="00221776" w:rsidRPr="00333F6B" w:rsidRDefault="00221776" w:rsidP="00B64D7E">
            <w:pPr>
              <w:pStyle w:val="Table"/>
            </w:pPr>
            <w:r w:rsidRPr="00333F6B">
              <w:t>Does the conversion training course determine the appropriate training methods?</w:t>
            </w:r>
          </w:p>
        </w:tc>
        <w:tc>
          <w:tcPr>
            <w:tcW w:w="567" w:type="dxa"/>
          </w:tcPr>
          <w:p w14:paraId="2F9D35FE" w14:textId="77777777" w:rsidR="00221776" w:rsidRPr="00333F6B" w:rsidRDefault="00221776" w:rsidP="00B64D7E">
            <w:pPr>
              <w:pStyle w:val="Table"/>
            </w:pPr>
          </w:p>
        </w:tc>
        <w:tc>
          <w:tcPr>
            <w:tcW w:w="3760" w:type="dxa"/>
          </w:tcPr>
          <w:p w14:paraId="3D2D18C1" w14:textId="77777777" w:rsidR="00221776" w:rsidRPr="00333F6B" w:rsidRDefault="00221776" w:rsidP="00B64D7E">
            <w:pPr>
              <w:pStyle w:val="Table"/>
            </w:pPr>
          </w:p>
        </w:tc>
      </w:tr>
      <w:tr w:rsidR="00221776" w:rsidRPr="00333F6B" w14:paraId="2C722BA0" w14:textId="77777777" w:rsidTr="0016430A">
        <w:tc>
          <w:tcPr>
            <w:tcW w:w="2483" w:type="dxa"/>
          </w:tcPr>
          <w:p w14:paraId="695F786E" w14:textId="77777777" w:rsidR="00221776" w:rsidRPr="00333F6B" w:rsidRDefault="00221776" w:rsidP="00B64D7E">
            <w:pPr>
              <w:pStyle w:val="Table"/>
            </w:pPr>
            <w:r w:rsidRPr="00333F6B">
              <w:lastRenderedPageBreak/>
              <w:t>Conversion training courses shall include the determination of: the duration of the course</w:t>
            </w:r>
          </w:p>
        </w:tc>
        <w:tc>
          <w:tcPr>
            <w:tcW w:w="4249" w:type="dxa"/>
          </w:tcPr>
          <w:p w14:paraId="0E9BF97E" w14:textId="77777777" w:rsidR="00221776" w:rsidRPr="00333F6B" w:rsidRDefault="00221776" w:rsidP="00B64D7E">
            <w:pPr>
              <w:pStyle w:val="Table"/>
            </w:pPr>
            <w:r w:rsidRPr="00333F6B">
              <w:t>The nature and extent of the change should be considered when determining the duration of the course.</w:t>
            </w:r>
          </w:p>
        </w:tc>
        <w:tc>
          <w:tcPr>
            <w:tcW w:w="2902" w:type="dxa"/>
          </w:tcPr>
          <w:p w14:paraId="10BF0EF9" w14:textId="77777777" w:rsidR="00221776" w:rsidRPr="00333F6B" w:rsidRDefault="00221776" w:rsidP="00B64D7E">
            <w:pPr>
              <w:pStyle w:val="Table"/>
            </w:pPr>
            <w:r w:rsidRPr="00333F6B">
              <w:t>Does the conversion training course determine an appropriate duration for the course considering the extent of the change?</w:t>
            </w:r>
          </w:p>
        </w:tc>
        <w:tc>
          <w:tcPr>
            <w:tcW w:w="567" w:type="dxa"/>
          </w:tcPr>
          <w:p w14:paraId="0CAE22C7" w14:textId="77777777" w:rsidR="00221776" w:rsidRPr="00333F6B" w:rsidRDefault="00221776" w:rsidP="00B64D7E">
            <w:pPr>
              <w:pStyle w:val="Table"/>
            </w:pPr>
          </w:p>
        </w:tc>
        <w:tc>
          <w:tcPr>
            <w:tcW w:w="3760" w:type="dxa"/>
          </w:tcPr>
          <w:p w14:paraId="0F78E83D" w14:textId="77777777" w:rsidR="00221776" w:rsidRPr="00333F6B" w:rsidRDefault="00221776" w:rsidP="00B64D7E">
            <w:pPr>
              <w:pStyle w:val="Table"/>
            </w:pPr>
          </w:p>
        </w:tc>
      </w:tr>
      <w:tr w:rsidR="00221776" w:rsidRPr="00852CC6" w14:paraId="7D53A7E0" w14:textId="77777777" w:rsidTr="0016430A">
        <w:tc>
          <w:tcPr>
            <w:tcW w:w="2483" w:type="dxa"/>
          </w:tcPr>
          <w:p w14:paraId="33006D32" w14:textId="77777777" w:rsidR="00221776" w:rsidRPr="00333F6B" w:rsidRDefault="00221776" w:rsidP="00B64D7E">
            <w:pPr>
              <w:pStyle w:val="Table"/>
            </w:pPr>
            <w:r w:rsidRPr="00333F6B">
              <w:t>Conversion training courses shall include the determination of examination and/or assessment methods</w:t>
            </w:r>
          </w:p>
        </w:tc>
        <w:tc>
          <w:tcPr>
            <w:tcW w:w="4249" w:type="dxa"/>
          </w:tcPr>
          <w:p w14:paraId="3269E95D" w14:textId="77777777" w:rsidR="00221776" w:rsidRPr="00333F6B" w:rsidRDefault="00221776" w:rsidP="00B64D7E">
            <w:pPr>
              <w:pStyle w:val="Table"/>
            </w:pPr>
          </w:p>
        </w:tc>
        <w:tc>
          <w:tcPr>
            <w:tcW w:w="2902" w:type="dxa"/>
          </w:tcPr>
          <w:p w14:paraId="242A523A" w14:textId="77777777" w:rsidR="00221776" w:rsidRPr="00852CC6" w:rsidRDefault="00221776" w:rsidP="00B64D7E">
            <w:pPr>
              <w:pStyle w:val="Table"/>
            </w:pPr>
            <w:r w:rsidRPr="00333F6B">
              <w:t>Does the conversion training course determine appropriate examination and/or assessment methods?</w:t>
            </w:r>
          </w:p>
        </w:tc>
        <w:tc>
          <w:tcPr>
            <w:tcW w:w="567" w:type="dxa"/>
          </w:tcPr>
          <w:p w14:paraId="06A152D1" w14:textId="77777777" w:rsidR="00221776" w:rsidRPr="00852CC6" w:rsidRDefault="00221776" w:rsidP="00B64D7E">
            <w:pPr>
              <w:pStyle w:val="Table"/>
            </w:pPr>
          </w:p>
        </w:tc>
        <w:tc>
          <w:tcPr>
            <w:tcW w:w="3760" w:type="dxa"/>
          </w:tcPr>
          <w:p w14:paraId="75F2C3EF" w14:textId="77777777" w:rsidR="00221776" w:rsidRPr="00852CC6" w:rsidRDefault="00221776" w:rsidP="00B64D7E">
            <w:pPr>
              <w:pStyle w:val="Table"/>
            </w:pPr>
          </w:p>
        </w:tc>
      </w:tr>
    </w:tbl>
    <w:p w14:paraId="0D5C268D" w14:textId="77777777" w:rsidR="00221776" w:rsidRPr="00852CC6" w:rsidRDefault="00221776" w:rsidP="00852CC6">
      <w:pPr>
        <w:spacing w:before="120" w:after="120"/>
        <w:contextualSpacing/>
        <w:jc w:val="left"/>
        <w:rPr>
          <w:rFonts w:asciiTheme="minorHAnsi" w:hAnsiTheme="minorHAnsi"/>
          <w:sz w:val="24"/>
          <w:szCs w:val="24"/>
        </w:rPr>
      </w:pPr>
    </w:p>
    <w:p w14:paraId="61425254" w14:textId="485D3901" w:rsidR="00221776" w:rsidRPr="00852CC6" w:rsidRDefault="00221776" w:rsidP="00852CC6">
      <w:pPr>
        <w:spacing w:before="120" w:after="120"/>
        <w:contextualSpacing/>
        <w:jc w:val="left"/>
        <w:rPr>
          <w:rFonts w:asciiTheme="minorHAnsi" w:hAnsiTheme="minorHAnsi"/>
          <w:sz w:val="24"/>
          <w:szCs w:val="24"/>
        </w:rPr>
      </w:pPr>
    </w:p>
    <w:p w14:paraId="3B60C90F" w14:textId="0B0E1B4B" w:rsidR="00221776" w:rsidRPr="00852CC6" w:rsidRDefault="00221776" w:rsidP="00852CC6">
      <w:pPr>
        <w:spacing w:before="120" w:after="120"/>
        <w:contextualSpacing/>
        <w:jc w:val="left"/>
        <w:rPr>
          <w:rFonts w:asciiTheme="minorHAnsi" w:hAnsiTheme="minorHAnsi"/>
          <w:sz w:val="24"/>
          <w:szCs w:val="24"/>
        </w:rPr>
      </w:pPr>
    </w:p>
    <w:p w14:paraId="3739D3BB" w14:textId="407C6B59" w:rsidR="00221776" w:rsidRDefault="00221776" w:rsidP="00383F06"/>
    <w:p w14:paraId="002F1AF0" w14:textId="2A29285B" w:rsidR="00221776" w:rsidRDefault="00221776" w:rsidP="00383F06"/>
    <w:p w14:paraId="07FDE343" w14:textId="320425AE" w:rsidR="00221776" w:rsidRDefault="00221776" w:rsidP="00383F06"/>
    <w:p w14:paraId="642661B8" w14:textId="2F7FC40F" w:rsidR="00221776" w:rsidRDefault="00221776" w:rsidP="00383F06"/>
    <w:p w14:paraId="0D9E0BEB" w14:textId="53924747" w:rsidR="00221776" w:rsidRPr="00383F06" w:rsidRDefault="00221776" w:rsidP="00002D02">
      <w:pPr>
        <w:jc w:val="center"/>
      </w:pPr>
    </w:p>
    <w:sectPr w:rsidR="00221776" w:rsidRPr="00383F06" w:rsidSect="00AE42B6">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1440" w:right="1440" w:bottom="1134" w:left="1134" w:header="567" w:footer="51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9DA78" w14:textId="77777777" w:rsidR="00AE42B6" w:rsidRDefault="00AE42B6" w:rsidP="005854B7">
      <w:r>
        <w:separator/>
      </w:r>
    </w:p>
  </w:endnote>
  <w:endnote w:type="continuationSeparator" w:id="0">
    <w:p w14:paraId="0CCBCA2E" w14:textId="77777777" w:rsidR="00AE42B6" w:rsidRDefault="00AE42B6" w:rsidP="0058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09AEA" w14:textId="77777777" w:rsidR="00302CBD" w:rsidRDefault="00302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5C404" w14:textId="503B717D" w:rsidR="009901CC" w:rsidRDefault="009901CC" w:rsidP="009901CC">
    <w:pPr>
      <w:pStyle w:val="Footer"/>
      <w:pBdr>
        <w:top w:val="single" w:sz="4" w:space="1" w:color="auto"/>
      </w:pBdr>
      <w:tabs>
        <w:tab w:val="clear" w:pos="9360"/>
        <w:tab w:val="right" w:pos="10510"/>
      </w:tabs>
      <w:rPr>
        <w:b/>
        <w:bCs/>
        <w:sz w:val="24"/>
        <w:szCs w:val="24"/>
      </w:rPr>
    </w:pPr>
    <w:r>
      <w:rPr>
        <w:sz w:val="24"/>
        <w:szCs w:val="24"/>
      </w:rPr>
      <w:t>PEL</w:t>
    </w:r>
    <w:r>
      <w:rPr>
        <w:sz w:val="24"/>
        <w:szCs w:val="24"/>
        <w:cs/>
      </w:rPr>
      <w:t>-</w:t>
    </w:r>
    <w:r w:rsidR="00302CBD">
      <w:rPr>
        <w:sz w:val="24"/>
        <w:szCs w:val="24"/>
      </w:rPr>
      <w:t>TO</w:t>
    </w:r>
    <w:r w:rsidRPr="005E1209">
      <w:rPr>
        <w:sz w:val="24"/>
        <w:szCs w:val="24"/>
        <w:cs/>
      </w:rPr>
      <w:t>-</w:t>
    </w:r>
    <w:r>
      <w:rPr>
        <w:sz w:val="24"/>
        <w:szCs w:val="24"/>
      </w:rPr>
      <w:t>CK</w:t>
    </w:r>
    <w:r>
      <w:rPr>
        <w:sz w:val="24"/>
        <w:szCs w:val="24"/>
        <w:cs/>
      </w:rPr>
      <w:t>-</w:t>
    </w:r>
    <w:r>
      <w:rPr>
        <w:sz w:val="24"/>
        <w:szCs w:val="24"/>
      </w:rPr>
      <w:t>087 Rev</w:t>
    </w:r>
    <w:r>
      <w:rPr>
        <w:sz w:val="24"/>
        <w:szCs w:val="24"/>
        <w:cs/>
      </w:rPr>
      <w:t>.</w:t>
    </w:r>
    <w:r>
      <w:rPr>
        <w:sz w:val="24"/>
        <w:szCs w:val="24"/>
      </w:rPr>
      <w:t>00</w:t>
    </w:r>
    <w:r>
      <w:rPr>
        <w:sz w:val="24"/>
        <w:szCs w:val="24"/>
        <w:cs/>
      </w:rPr>
      <w:tab/>
    </w:r>
    <w:r>
      <w:rPr>
        <w:sz w:val="24"/>
        <w:szCs w:val="24"/>
        <w:cs/>
      </w:rPr>
      <w:tab/>
    </w:r>
    <w:r>
      <w:rPr>
        <w:sz w:val="24"/>
        <w:szCs w:val="24"/>
        <w:cs/>
      </w:rPr>
      <w:tab/>
    </w:r>
    <w:r>
      <w:rPr>
        <w:sz w:val="24"/>
        <w:szCs w:val="24"/>
        <w:cs/>
      </w:rPr>
      <w:tab/>
    </w:r>
    <w:r>
      <w:rPr>
        <w:sz w:val="24"/>
        <w:szCs w:val="24"/>
        <w:cs/>
      </w:rPr>
      <w:tab/>
    </w:r>
    <w:r>
      <w:rPr>
        <w:sz w:val="24"/>
        <w:szCs w:val="24"/>
        <w:cs/>
      </w:rPr>
      <w:tab/>
    </w:r>
    <w:r w:rsidRPr="00EC24B4">
      <w:rPr>
        <w:sz w:val="24"/>
        <w:szCs w:val="24"/>
      </w:rPr>
      <w:t xml:space="preserve">Page </w:t>
    </w:r>
    <w:r w:rsidRPr="00EC24B4">
      <w:rPr>
        <w:b/>
        <w:bCs/>
        <w:sz w:val="24"/>
        <w:szCs w:val="24"/>
        <w:cs/>
      </w:rPr>
      <w:fldChar w:fldCharType="begin"/>
    </w:r>
    <w:r w:rsidRPr="00EC24B4">
      <w:rPr>
        <w:b/>
        <w:bCs/>
        <w:sz w:val="24"/>
        <w:szCs w:val="24"/>
      </w:rPr>
      <w:instrText xml:space="preserve"> PAGE  \</w:instrText>
    </w:r>
    <w:r w:rsidRPr="00EC24B4">
      <w:rPr>
        <w:b/>
        <w:bCs/>
        <w:sz w:val="24"/>
        <w:szCs w:val="24"/>
        <w:cs/>
      </w:rPr>
      <w:instrText xml:space="preserve">* </w:instrText>
    </w:r>
    <w:r w:rsidRPr="00EC24B4">
      <w:rPr>
        <w:b/>
        <w:bCs/>
        <w:sz w:val="24"/>
        <w:szCs w:val="24"/>
      </w:rPr>
      <w:instrText>Arabic  \</w:instrText>
    </w:r>
    <w:r w:rsidRPr="00EC24B4">
      <w:rPr>
        <w:b/>
        <w:bCs/>
        <w:sz w:val="24"/>
        <w:szCs w:val="24"/>
        <w:cs/>
      </w:rPr>
      <w:instrText xml:space="preserve">* </w:instrText>
    </w:r>
    <w:r w:rsidRPr="00EC24B4">
      <w:rPr>
        <w:b/>
        <w:bCs/>
        <w:sz w:val="24"/>
        <w:szCs w:val="24"/>
      </w:rPr>
      <w:instrText xml:space="preserve">MERGEFORMAT </w:instrText>
    </w:r>
    <w:r w:rsidRPr="00EC24B4">
      <w:rPr>
        <w:b/>
        <w:bCs/>
        <w:sz w:val="24"/>
        <w:szCs w:val="24"/>
        <w:cs/>
      </w:rPr>
      <w:fldChar w:fldCharType="separate"/>
    </w:r>
    <w:r>
      <w:rPr>
        <w:b/>
        <w:bCs/>
        <w:sz w:val="24"/>
        <w:szCs w:val="24"/>
        <w:cs/>
      </w:rPr>
      <w:t>1</w:t>
    </w:r>
    <w:r w:rsidRPr="00EC24B4">
      <w:rPr>
        <w:b/>
        <w:bCs/>
        <w:sz w:val="24"/>
        <w:szCs w:val="24"/>
        <w:cs/>
      </w:rPr>
      <w:fldChar w:fldCharType="end"/>
    </w:r>
    <w:r w:rsidRPr="00EC24B4">
      <w:rPr>
        <w:sz w:val="24"/>
        <w:szCs w:val="24"/>
      </w:rPr>
      <w:t xml:space="preserve"> of </w:t>
    </w:r>
    <w:r w:rsidRPr="00EC24B4">
      <w:rPr>
        <w:b/>
        <w:bCs/>
        <w:sz w:val="24"/>
        <w:szCs w:val="24"/>
        <w:cs/>
      </w:rPr>
      <w:fldChar w:fldCharType="begin"/>
    </w:r>
    <w:r w:rsidRPr="00EC24B4">
      <w:rPr>
        <w:b/>
        <w:bCs/>
        <w:sz w:val="24"/>
        <w:szCs w:val="24"/>
      </w:rPr>
      <w:instrText xml:space="preserve"> NUMPAGES  \</w:instrText>
    </w:r>
    <w:r w:rsidRPr="00EC24B4">
      <w:rPr>
        <w:b/>
        <w:bCs/>
        <w:sz w:val="24"/>
        <w:szCs w:val="24"/>
        <w:cs/>
      </w:rPr>
      <w:instrText xml:space="preserve">* </w:instrText>
    </w:r>
    <w:r w:rsidRPr="00EC24B4">
      <w:rPr>
        <w:b/>
        <w:bCs/>
        <w:sz w:val="24"/>
        <w:szCs w:val="24"/>
      </w:rPr>
      <w:instrText>Arabic  \</w:instrText>
    </w:r>
    <w:r w:rsidRPr="00EC24B4">
      <w:rPr>
        <w:b/>
        <w:bCs/>
        <w:sz w:val="24"/>
        <w:szCs w:val="24"/>
        <w:cs/>
      </w:rPr>
      <w:instrText xml:space="preserve">* </w:instrText>
    </w:r>
    <w:r w:rsidRPr="00EC24B4">
      <w:rPr>
        <w:b/>
        <w:bCs/>
        <w:sz w:val="24"/>
        <w:szCs w:val="24"/>
      </w:rPr>
      <w:instrText xml:space="preserve">MERGEFORMAT </w:instrText>
    </w:r>
    <w:r w:rsidRPr="00EC24B4">
      <w:rPr>
        <w:b/>
        <w:bCs/>
        <w:sz w:val="24"/>
        <w:szCs w:val="24"/>
        <w:cs/>
      </w:rPr>
      <w:fldChar w:fldCharType="separate"/>
    </w:r>
    <w:r>
      <w:rPr>
        <w:b/>
        <w:bCs/>
        <w:sz w:val="24"/>
        <w:szCs w:val="24"/>
        <w:cs/>
      </w:rPr>
      <w:t>4</w:t>
    </w:r>
    <w:r w:rsidRPr="00EC24B4">
      <w:rPr>
        <w:b/>
        <w:bCs/>
        <w:sz w:val="24"/>
        <w:szCs w:val="24"/>
        <w:cs/>
      </w:rPr>
      <w:fldChar w:fldCharType="end"/>
    </w:r>
  </w:p>
  <w:p w14:paraId="28DD9FE0" w14:textId="77777777" w:rsidR="009901CC" w:rsidRPr="00CE6869" w:rsidRDefault="009901CC" w:rsidP="009901CC">
    <w:pPr>
      <w:pStyle w:val="Footer"/>
      <w:spacing w:before="0"/>
      <w:rPr>
        <w:sz w:val="24"/>
        <w:szCs w:val="24"/>
      </w:rPr>
    </w:pPr>
    <w:r w:rsidRPr="005E1209">
      <w:rPr>
        <w:sz w:val="24"/>
        <w:szCs w:val="24"/>
      </w:rPr>
      <w:t>Effective D</w:t>
    </w:r>
    <w:r>
      <w:rPr>
        <w:sz w:val="24"/>
        <w:szCs w:val="24"/>
      </w:rPr>
      <w:t>ate</w:t>
    </w:r>
    <w:r>
      <w:rPr>
        <w:sz w:val="24"/>
        <w:szCs w:val="24"/>
        <w:cs/>
      </w:rPr>
      <w:t xml:space="preserve">: </w:t>
    </w:r>
    <w:r>
      <w:rPr>
        <w:sz w:val="24"/>
        <w:szCs w:val="24"/>
      </w:rPr>
      <w:t>1</w:t>
    </w:r>
    <w:r>
      <w:rPr>
        <w:sz w:val="24"/>
        <w:szCs w:val="24"/>
        <w:cs/>
      </w:rPr>
      <w:t>-</w:t>
    </w:r>
    <w:r>
      <w:rPr>
        <w:sz w:val="24"/>
        <w:szCs w:val="24"/>
      </w:rPr>
      <w:t>May</w:t>
    </w:r>
    <w:r>
      <w:rPr>
        <w:sz w:val="24"/>
        <w:szCs w:val="24"/>
        <w:cs/>
      </w:rPr>
      <w:t>-</w:t>
    </w:r>
    <w:r>
      <w:rPr>
        <w:sz w:val="24"/>
        <w:szCs w:val="24"/>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82F5A" w14:textId="77777777" w:rsidR="00302CBD" w:rsidRDefault="00302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D62A3" w14:textId="77777777" w:rsidR="00AE42B6" w:rsidRDefault="00AE42B6" w:rsidP="005854B7">
      <w:r>
        <w:separator/>
      </w:r>
    </w:p>
  </w:footnote>
  <w:footnote w:type="continuationSeparator" w:id="0">
    <w:p w14:paraId="5B6C6ACA" w14:textId="77777777" w:rsidR="00AE42B6" w:rsidRDefault="00AE42B6" w:rsidP="00585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8937E" w14:textId="77777777" w:rsidR="00302CBD" w:rsidRDefault="00302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auto"/>
      </w:tblBorders>
      <w:tblLook w:val="04A0" w:firstRow="1" w:lastRow="0" w:firstColumn="1" w:lastColumn="0" w:noHBand="0" w:noVBand="1"/>
    </w:tblPr>
    <w:tblGrid>
      <w:gridCol w:w="2485"/>
      <w:gridCol w:w="11781"/>
    </w:tblGrid>
    <w:tr w:rsidR="00C27B08" w14:paraId="61B70B0D" w14:textId="77777777" w:rsidTr="00C356E5">
      <w:trPr>
        <w:trHeight w:val="281"/>
      </w:trPr>
      <w:tc>
        <w:tcPr>
          <w:tcW w:w="871" w:type="pct"/>
          <w:vMerge w:val="restart"/>
          <w:tcBorders>
            <w:top w:val="nil"/>
            <w:left w:val="nil"/>
            <w:bottom w:val="single" w:sz="4" w:space="0" w:color="auto"/>
            <w:right w:val="nil"/>
          </w:tcBorders>
          <w:vAlign w:val="center"/>
          <w:hideMark/>
        </w:tcPr>
        <w:p w14:paraId="3F5371F1" w14:textId="5DDF5A1D" w:rsidR="00C27B08" w:rsidRDefault="00C27B08" w:rsidP="00C27B08">
          <w:pPr>
            <w:pStyle w:val="CAATHeader"/>
            <w:jc w:val="left"/>
          </w:pPr>
          <w:r>
            <w:drawing>
              <wp:inline distT="0" distB="0" distL="0" distR="0" wp14:anchorId="7DF1C65A" wp14:editId="5EC8F156">
                <wp:extent cx="1009650" cy="395605"/>
                <wp:effectExtent l="0" t="0" r="0" b="4445"/>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95605"/>
                        </a:xfrm>
                        <a:prstGeom prst="rect">
                          <a:avLst/>
                        </a:prstGeom>
                        <a:noFill/>
                        <a:ln>
                          <a:noFill/>
                        </a:ln>
                      </pic:spPr>
                    </pic:pic>
                  </a:graphicData>
                </a:graphic>
              </wp:inline>
            </w:drawing>
          </w:r>
        </w:p>
      </w:tc>
      <w:tc>
        <w:tcPr>
          <w:tcW w:w="4129" w:type="pct"/>
          <w:tcBorders>
            <w:top w:val="nil"/>
            <w:left w:val="nil"/>
            <w:bottom w:val="nil"/>
            <w:right w:val="nil"/>
          </w:tcBorders>
          <w:vAlign w:val="center"/>
        </w:tcPr>
        <w:p w14:paraId="7F46FF24" w14:textId="11118322" w:rsidR="00C27B08" w:rsidRDefault="00C27B08" w:rsidP="00C27B08">
          <w:pPr>
            <w:pStyle w:val="CAATHeader"/>
            <w:ind w:left="-2496" w:firstLine="2496"/>
          </w:pPr>
        </w:p>
      </w:tc>
    </w:tr>
    <w:tr w:rsidR="00C27B08" w14:paraId="6A983C82" w14:textId="77777777" w:rsidTr="00C27B08">
      <w:tc>
        <w:tcPr>
          <w:tcW w:w="0" w:type="auto"/>
          <w:vMerge/>
          <w:tcBorders>
            <w:top w:val="nil"/>
            <w:left w:val="nil"/>
            <w:bottom w:val="single" w:sz="4" w:space="0" w:color="auto"/>
            <w:right w:val="nil"/>
          </w:tcBorders>
          <w:vAlign w:val="center"/>
          <w:hideMark/>
        </w:tcPr>
        <w:p w14:paraId="462FDF0B" w14:textId="77777777" w:rsidR="00C27B08" w:rsidRDefault="00C27B08" w:rsidP="00C27B08">
          <w:pPr>
            <w:spacing w:before="0"/>
            <w:jc w:val="left"/>
            <w:rPr>
              <w:noProof/>
            </w:rPr>
          </w:pPr>
        </w:p>
      </w:tc>
      <w:tc>
        <w:tcPr>
          <w:tcW w:w="4129" w:type="pct"/>
          <w:tcBorders>
            <w:top w:val="nil"/>
            <w:left w:val="nil"/>
            <w:bottom w:val="single" w:sz="4" w:space="0" w:color="auto"/>
            <w:right w:val="nil"/>
          </w:tcBorders>
          <w:vAlign w:val="center"/>
          <w:hideMark/>
        </w:tcPr>
        <w:p w14:paraId="358C835C" w14:textId="5EEC3B66" w:rsidR="00C27B08" w:rsidRDefault="00C27B08" w:rsidP="00C27B08">
          <w:pPr>
            <w:pStyle w:val="CAATHeader"/>
            <w:ind w:left="-2496" w:firstLine="2496"/>
          </w:pPr>
          <w:r>
            <w:t>Unit Competence Scheme and Continuation Training Checklist</w:t>
          </w:r>
        </w:p>
      </w:tc>
    </w:tr>
  </w:tbl>
  <w:p w14:paraId="0FA8B654" w14:textId="0407CEC6" w:rsidR="00D209F1" w:rsidRDefault="00D20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435FA" w14:textId="77777777" w:rsidR="00302CBD" w:rsidRDefault="00302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0073B"/>
    <w:multiLevelType w:val="hybridMultilevel"/>
    <w:tmpl w:val="20CA409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D17C4"/>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A36B3E"/>
    <w:multiLevelType w:val="multilevel"/>
    <w:tmpl w:val="928EE138"/>
    <w:lvl w:ilvl="0">
      <w:numFmt w:val="decimal"/>
      <w:pStyle w:val="Heading1"/>
      <w:lvlText w:val="%1."/>
      <w:lvlJc w:val="left"/>
      <w:pPr>
        <w:ind w:left="425" w:hanging="425"/>
      </w:pPr>
      <w:rPr>
        <w:rFonts w:hint="default"/>
      </w:rPr>
    </w:lvl>
    <w:lvl w:ilvl="1">
      <w:start w:val="1"/>
      <w:numFmt w:val="decimal"/>
      <w:pStyle w:val="Heading2"/>
      <w:lvlText w:val="%1.%2"/>
      <w:lvlJc w:val="left"/>
      <w:pPr>
        <w:ind w:left="567" w:hanging="142"/>
      </w:pPr>
      <w:rPr>
        <w:rFonts w:hint="default"/>
      </w:rPr>
    </w:lvl>
    <w:lvl w:ilvl="2">
      <w:start w:val="1"/>
      <w:numFmt w:val="decimal"/>
      <w:pStyle w:val="Heading3"/>
      <w:lvlText w:val="%1.%2.%3"/>
      <w:lvlJc w:val="left"/>
      <w:pPr>
        <w:ind w:left="709" w:firstLine="283"/>
      </w:pPr>
      <w:rPr>
        <w:rFonts w:hint="default"/>
      </w:rPr>
    </w:lvl>
    <w:lvl w:ilvl="3">
      <w:start w:val="1"/>
      <w:numFmt w:val="decimal"/>
      <w:pStyle w:val="Bodynos"/>
      <w:lvlText w:val="%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492838"/>
    <w:multiLevelType w:val="hybridMultilevel"/>
    <w:tmpl w:val="789C63D2"/>
    <w:lvl w:ilvl="0" w:tplc="EE12DD90">
      <w:start w:val="1"/>
      <w:numFmt w:val="bullet"/>
      <w:pStyle w:val="Action"/>
      <w:lvlText w:val=""/>
      <w:lvlJc w:val="left"/>
      <w:pPr>
        <w:ind w:left="1134" w:hanging="567"/>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4" w15:restartNumberingAfterBreak="0">
    <w:nsid w:val="234A7564"/>
    <w:multiLevelType w:val="hybridMultilevel"/>
    <w:tmpl w:val="EA58D686"/>
    <w:lvl w:ilvl="0" w:tplc="8E2A801C">
      <w:start w:val="1"/>
      <w:numFmt w:val="decimal"/>
      <w:pStyle w:val="List1"/>
      <w:lvlText w:val="%1)"/>
      <w:lvlJc w:val="left"/>
      <w:pPr>
        <w:ind w:left="720" w:hanging="360"/>
      </w:pPr>
      <w:rPr>
        <w:i w:val="0"/>
        <w:iCs w:val="0"/>
        <w:cap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35659"/>
    <w:multiLevelType w:val="multilevel"/>
    <w:tmpl w:val="A18AD786"/>
    <w:lvl w:ilvl="0">
      <w:start w:val="1"/>
      <w:numFmt w:val="decimal"/>
      <w:pStyle w:val="1"/>
      <w:lvlText w:val="%1"/>
      <w:lvlJc w:val="left"/>
      <w:pPr>
        <w:ind w:left="5387" w:hanging="567"/>
      </w:pPr>
      <w:rPr>
        <w:rFonts w:hint="default"/>
      </w:rPr>
    </w:lvl>
    <w:lvl w:ilvl="1">
      <w:start w:val="1"/>
      <w:numFmt w:val="decimal"/>
      <w:pStyle w:val="11"/>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5A21FF"/>
    <w:multiLevelType w:val="hybridMultilevel"/>
    <w:tmpl w:val="20CA409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71852"/>
    <w:multiLevelType w:val="hybridMultilevel"/>
    <w:tmpl w:val="C6A2DCDE"/>
    <w:lvl w:ilvl="0" w:tplc="BFC8FB06">
      <w:start w:val="1"/>
      <w:numFmt w:val="bullet"/>
      <w:pStyle w:val="Dash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C0B95"/>
    <w:multiLevelType w:val="multilevel"/>
    <w:tmpl w:val="0809001D"/>
    <w:styleLink w:val="Style9"/>
    <w:lvl w:ilvl="0">
      <w:start w:val="1"/>
      <w:numFmt w:val="decimal"/>
      <w:lvlText w:val="%1)"/>
      <w:lvlJc w:val="left"/>
      <w:pPr>
        <w:ind w:left="360" w:hanging="360"/>
      </w:pPr>
      <w:rPr>
        <w:rFonts w:ascii="Arial" w:hAnsi="Arial"/>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0E5D1B"/>
    <w:multiLevelType w:val="multilevel"/>
    <w:tmpl w:val="2F880152"/>
    <w:name w:val="seq1"/>
    <w:lvl w:ilvl="0">
      <w:start w:val="1"/>
      <w:numFmt w:val="decimal"/>
      <w:pStyle w:val="N1"/>
      <w:suff w:val="nothing"/>
      <w:lvlText w:val="%1."/>
      <w:lvlJc w:val="left"/>
      <w:pPr>
        <w:ind w:left="0" w:firstLine="170"/>
      </w:pPr>
      <w:rPr>
        <w:b/>
        <w:i w:val="0"/>
      </w:rPr>
    </w:lvl>
    <w:lvl w:ilvl="1">
      <w:start w:val="1"/>
      <w:numFmt w:val="decimal"/>
      <w:pStyle w:val="H2"/>
      <w:suff w:val="space"/>
      <w:lvlText w:val="(%2)"/>
      <w:lvlJc w:val="left"/>
      <w:pPr>
        <w:ind w:left="0" w:firstLine="17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10" w15:restartNumberingAfterBreak="0">
    <w:nsid w:val="657A4793"/>
    <w:multiLevelType w:val="hybridMultilevel"/>
    <w:tmpl w:val="3B7A427E"/>
    <w:lvl w:ilvl="0" w:tplc="41943E5E">
      <w:start w:val="1"/>
      <w:numFmt w:val="bullet"/>
      <w:pStyle w:val="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7F1C3262"/>
    <w:multiLevelType w:val="multilevel"/>
    <w:tmpl w:val="28E41BF0"/>
    <w:lvl w:ilvl="0">
      <w:start w:val="1"/>
      <w:numFmt w:val="lowerLetter"/>
      <w:pStyle w:val="Lista"/>
      <w:lvlText w:val="(%1)"/>
      <w:lvlJc w:val="left"/>
      <w:pPr>
        <w:ind w:left="425" w:firstLine="0"/>
      </w:pPr>
      <w:rPr>
        <w:rFonts w:ascii="TH SarabunPSK" w:hAnsi="TH SarabunPSK" w:hint="cs"/>
        <w:b w:val="0"/>
        <w:bCs w:val="0"/>
        <w:i w:val="0"/>
        <w:iCs w:val="0"/>
        <w:caps w:val="0"/>
        <w:smallCaps w:val="0"/>
        <w:strike w:val="0"/>
        <w:dstrike w:val="0"/>
        <w:outline w:val="0"/>
        <w:shadow w:val="0"/>
        <w:emboss w:val="0"/>
        <w:imprint w:val="0"/>
        <w:noProof w:val="0"/>
        <w:vanish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32676968">
    <w:abstractNumId w:val="2"/>
  </w:num>
  <w:num w:numId="2" w16cid:durableId="2133670733">
    <w:abstractNumId w:val="5"/>
  </w:num>
  <w:num w:numId="3" w16cid:durableId="619334441">
    <w:abstractNumId w:val="3"/>
  </w:num>
  <w:num w:numId="4" w16cid:durableId="848905701">
    <w:abstractNumId w:val="9"/>
  </w:num>
  <w:num w:numId="5" w16cid:durableId="416755167">
    <w:abstractNumId w:val="10"/>
  </w:num>
  <w:num w:numId="6" w16cid:durableId="298341477">
    <w:abstractNumId w:val="7"/>
  </w:num>
  <w:num w:numId="7" w16cid:durableId="23135182">
    <w:abstractNumId w:val="11"/>
  </w:num>
  <w:num w:numId="8" w16cid:durableId="635568423">
    <w:abstractNumId w:val="4"/>
  </w:num>
  <w:num w:numId="9" w16cid:durableId="164058559">
    <w:abstractNumId w:val="1"/>
  </w:num>
  <w:num w:numId="10" w16cid:durableId="1351641418">
    <w:abstractNumId w:val="8"/>
  </w:num>
  <w:num w:numId="11" w16cid:durableId="376439708">
    <w:abstractNumId w:val="0"/>
  </w:num>
  <w:num w:numId="12" w16cid:durableId="140530168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D4"/>
    <w:rsid w:val="00002D02"/>
    <w:rsid w:val="00012E01"/>
    <w:rsid w:val="000204E0"/>
    <w:rsid w:val="00023486"/>
    <w:rsid w:val="00041749"/>
    <w:rsid w:val="00046F03"/>
    <w:rsid w:val="00060614"/>
    <w:rsid w:val="000707E9"/>
    <w:rsid w:val="00093031"/>
    <w:rsid w:val="000A031E"/>
    <w:rsid w:val="000E26B5"/>
    <w:rsid w:val="001020CF"/>
    <w:rsid w:val="00121EBF"/>
    <w:rsid w:val="0016430A"/>
    <w:rsid w:val="00187766"/>
    <w:rsid w:val="00192159"/>
    <w:rsid w:val="001A135F"/>
    <w:rsid w:val="001C1EAA"/>
    <w:rsid w:val="001D08A6"/>
    <w:rsid w:val="001D0A83"/>
    <w:rsid w:val="001D2372"/>
    <w:rsid w:val="001F0222"/>
    <w:rsid w:val="001F2101"/>
    <w:rsid w:val="001F748E"/>
    <w:rsid w:val="00211038"/>
    <w:rsid w:val="00217FA6"/>
    <w:rsid w:val="00221776"/>
    <w:rsid w:val="00236013"/>
    <w:rsid w:val="00292AD2"/>
    <w:rsid w:val="002B1963"/>
    <w:rsid w:val="002B3DB4"/>
    <w:rsid w:val="002B6FEF"/>
    <w:rsid w:val="002B7CA8"/>
    <w:rsid w:val="002C5130"/>
    <w:rsid w:val="002D3318"/>
    <w:rsid w:val="00302CBD"/>
    <w:rsid w:val="00324672"/>
    <w:rsid w:val="00326610"/>
    <w:rsid w:val="00333F6B"/>
    <w:rsid w:val="00336C8C"/>
    <w:rsid w:val="0034572E"/>
    <w:rsid w:val="00347103"/>
    <w:rsid w:val="00353F69"/>
    <w:rsid w:val="00364269"/>
    <w:rsid w:val="00367B1D"/>
    <w:rsid w:val="00381968"/>
    <w:rsid w:val="00383F06"/>
    <w:rsid w:val="00387C40"/>
    <w:rsid w:val="00390ECE"/>
    <w:rsid w:val="0039331B"/>
    <w:rsid w:val="003A2367"/>
    <w:rsid w:val="003C3417"/>
    <w:rsid w:val="003E641B"/>
    <w:rsid w:val="003E6FC1"/>
    <w:rsid w:val="003F14AA"/>
    <w:rsid w:val="003F2456"/>
    <w:rsid w:val="003F257B"/>
    <w:rsid w:val="003F49CA"/>
    <w:rsid w:val="003F6611"/>
    <w:rsid w:val="00407CE5"/>
    <w:rsid w:val="00427A1A"/>
    <w:rsid w:val="00443067"/>
    <w:rsid w:val="0047375A"/>
    <w:rsid w:val="00474B2C"/>
    <w:rsid w:val="004840EB"/>
    <w:rsid w:val="004A7D1E"/>
    <w:rsid w:val="004B0BC2"/>
    <w:rsid w:val="004B5547"/>
    <w:rsid w:val="004B7024"/>
    <w:rsid w:val="004D2E62"/>
    <w:rsid w:val="004E44DF"/>
    <w:rsid w:val="004F57F4"/>
    <w:rsid w:val="004F7CC0"/>
    <w:rsid w:val="00500C91"/>
    <w:rsid w:val="00512181"/>
    <w:rsid w:val="00535569"/>
    <w:rsid w:val="005435F1"/>
    <w:rsid w:val="0055093B"/>
    <w:rsid w:val="0055564A"/>
    <w:rsid w:val="00557EF1"/>
    <w:rsid w:val="005854B7"/>
    <w:rsid w:val="00586A88"/>
    <w:rsid w:val="00586BFF"/>
    <w:rsid w:val="00586CE3"/>
    <w:rsid w:val="005A6E70"/>
    <w:rsid w:val="005C6572"/>
    <w:rsid w:val="005D6EAC"/>
    <w:rsid w:val="005E2467"/>
    <w:rsid w:val="005E52E8"/>
    <w:rsid w:val="005E6571"/>
    <w:rsid w:val="005F1854"/>
    <w:rsid w:val="005F3D4E"/>
    <w:rsid w:val="006005AA"/>
    <w:rsid w:val="00607E8B"/>
    <w:rsid w:val="00610D8D"/>
    <w:rsid w:val="006230FA"/>
    <w:rsid w:val="00654B55"/>
    <w:rsid w:val="00673C26"/>
    <w:rsid w:val="0068577C"/>
    <w:rsid w:val="006C72A9"/>
    <w:rsid w:val="006E6F28"/>
    <w:rsid w:val="00702547"/>
    <w:rsid w:val="007209F6"/>
    <w:rsid w:val="00745665"/>
    <w:rsid w:val="00756C75"/>
    <w:rsid w:val="0076117A"/>
    <w:rsid w:val="00770C7C"/>
    <w:rsid w:val="0078743B"/>
    <w:rsid w:val="007923E9"/>
    <w:rsid w:val="007A4581"/>
    <w:rsid w:val="007A6E49"/>
    <w:rsid w:val="007B0DDA"/>
    <w:rsid w:val="007B1A23"/>
    <w:rsid w:val="007B459A"/>
    <w:rsid w:val="007D4902"/>
    <w:rsid w:val="007D720E"/>
    <w:rsid w:val="007E15AE"/>
    <w:rsid w:val="007E4B4E"/>
    <w:rsid w:val="008050E1"/>
    <w:rsid w:val="00805163"/>
    <w:rsid w:val="008122F8"/>
    <w:rsid w:val="00834C23"/>
    <w:rsid w:val="00836C5E"/>
    <w:rsid w:val="00837C3F"/>
    <w:rsid w:val="0084316B"/>
    <w:rsid w:val="008507FD"/>
    <w:rsid w:val="00852CC6"/>
    <w:rsid w:val="008615D4"/>
    <w:rsid w:val="00873AE0"/>
    <w:rsid w:val="008922FC"/>
    <w:rsid w:val="0089726F"/>
    <w:rsid w:val="008A58ED"/>
    <w:rsid w:val="008A778E"/>
    <w:rsid w:val="008B4538"/>
    <w:rsid w:val="008C7984"/>
    <w:rsid w:val="008D34CA"/>
    <w:rsid w:val="008F4E43"/>
    <w:rsid w:val="008F511E"/>
    <w:rsid w:val="009021CE"/>
    <w:rsid w:val="00910E71"/>
    <w:rsid w:val="00923551"/>
    <w:rsid w:val="009267B2"/>
    <w:rsid w:val="00943549"/>
    <w:rsid w:val="00944C4C"/>
    <w:rsid w:val="009901CC"/>
    <w:rsid w:val="00993A55"/>
    <w:rsid w:val="009A3334"/>
    <w:rsid w:val="009B34AD"/>
    <w:rsid w:val="009B7FA9"/>
    <w:rsid w:val="009C48D8"/>
    <w:rsid w:val="009E7AF4"/>
    <w:rsid w:val="009E7C10"/>
    <w:rsid w:val="009F46F2"/>
    <w:rsid w:val="00A15270"/>
    <w:rsid w:val="00A34DB6"/>
    <w:rsid w:val="00A37589"/>
    <w:rsid w:val="00A61C0E"/>
    <w:rsid w:val="00A72C17"/>
    <w:rsid w:val="00A74406"/>
    <w:rsid w:val="00A8468E"/>
    <w:rsid w:val="00A93DA8"/>
    <w:rsid w:val="00A95E0F"/>
    <w:rsid w:val="00AA04D2"/>
    <w:rsid w:val="00AD0E85"/>
    <w:rsid w:val="00AE054C"/>
    <w:rsid w:val="00AE1BC5"/>
    <w:rsid w:val="00AE42B6"/>
    <w:rsid w:val="00AE5CBC"/>
    <w:rsid w:val="00AF554E"/>
    <w:rsid w:val="00B07601"/>
    <w:rsid w:val="00B262AA"/>
    <w:rsid w:val="00B64D7E"/>
    <w:rsid w:val="00B80B18"/>
    <w:rsid w:val="00BF3156"/>
    <w:rsid w:val="00C05951"/>
    <w:rsid w:val="00C27B08"/>
    <w:rsid w:val="00C356E5"/>
    <w:rsid w:val="00C37A34"/>
    <w:rsid w:val="00C4692F"/>
    <w:rsid w:val="00C53240"/>
    <w:rsid w:val="00C66DB2"/>
    <w:rsid w:val="00C866A5"/>
    <w:rsid w:val="00CA3B8F"/>
    <w:rsid w:val="00CC43A2"/>
    <w:rsid w:val="00CD446B"/>
    <w:rsid w:val="00CE44F2"/>
    <w:rsid w:val="00CF6287"/>
    <w:rsid w:val="00D03791"/>
    <w:rsid w:val="00D07D4D"/>
    <w:rsid w:val="00D209F1"/>
    <w:rsid w:val="00D20DAE"/>
    <w:rsid w:val="00D27BBB"/>
    <w:rsid w:val="00D42A59"/>
    <w:rsid w:val="00D640FB"/>
    <w:rsid w:val="00D73202"/>
    <w:rsid w:val="00D7745A"/>
    <w:rsid w:val="00D831BA"/>
    <w:rsid w:val="00D86876"/>
    <w:rsid w:val="00D90938"/>
    <w:rsid w:val="00D94EBC"/>
    <w:rsid w:val="00D9523B"/>
    <w:rsid w:val="00DA316F"/>
    <w:rsid w:val="00DA6969"/>
    <w:rsid w:val="00DB6F54"/>
    <w:rsid w:val="00DD1238"/>
    <w:rsid w:val="00DD3FD6"/>
    <w:rsid w:val="00DD5708"/>
    <w:rsid w:val="00DF6D21"/>
    <w:rsid w:val="00E00CD7"/>
    <w:rsid w:val="00E01D38"/>
    <w:rsid w:val="00E06DEF"/>
    <w:rsid w:val="00E315D1"/>
    <w:rsid w:val="00E32B28"/>
    <w:rsid w:val="00E47BD7"/>
    <w:rsid w:val="00E56D26"/>
    <w:rsid w:val="00E844F7"/>
    <w:rsid w:val="00E9368B"/>
    <w:rsid w:val="00EC14CF"/>
    <w:rsid w:val="00EC341D"/>
    <w:rsid w:val="00EC5547"/>
    <w:rsid w:val="00EE2B97"/>
    <w:rsid w:val="00EE3013"/>
    <w:rsid w:val="00EE5D6C"/>
    <w:rsid w:val="00EE706B"/>
    <w:rsid w:val="00F03F0C"/>
    <w:rsid w:val="00F43B1E"/>
    <w:rsid w:val="00F80A29"/>
    <w:rsid w:val="00FB13B9"/>
    <w:rsid w:val="00FC1996"/>
    <w:rsid w:val="00FD145C"/>
    <w:rsid w:val="00FE29BB"/>
    <w:rsid w:val="00FE71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715FE"/>
  <w15:chartTrackingRefBased/>
  <w15:docId w15:val="{52C12930-0672-4F82-BE90-053397D2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th-TH"/>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D8D"/>
    <w:pPr>
      <w:spacing w:before="240"/>
      <w:jc w:val="both"/>
    </w:pPr>
    <w:rPr>
      <w:rFonts w:ascii="TH SarabunPSK" w:hAnsi="TH SarabunPSK" w:cs="TH SarabunPSK"/>
      <w:spacing w:val="5"/>
      <w:kern w:val="28"/>
      <w:sz w:val="32"/>
      <w:szCs w:val="32"/>
    </w:rPr>
  </w:style>
  <w:style w:type="paragraph" w:styleId="Heading1">
    <w:name w:val="heading 1"/>
    <w:basedOn w:val="Normal"/>
    <w:next w:val="Normal"/>
    <w:link w:val="Heading1Char"/>
    <w:uiPriority w:val="2"/>
    <w:qFormat/>
    <w:rsid w:val="002B7CA8"/>
    <w:pPr>
      <w:keepNext/>
      <w:keepLines/>
      <w:numPr>
        <w:numId w:val="1"/>
      </w:numPr>
      <w:spacing w:after="240"/>
      <w:outlineLvl w:val="0"/>
    </w:pPr>
    <w:rPr>
      <w:rFonts w:eastAsiaTheme="majorEastAsia"/>
      <w:b/>
      <w:bCs/>
      <w:sz w:val="40"/>
      <w:szCs w:val="40"/>
    </w:rPr>
  </w:style>
  <w:style w:type="paragraph" w:styleId="Heading2">
    <w:name w:val="heading 2"/>
    <w:next w:val="Normal"/>
    <w:link w:val="Heading2Char"/>
    <w:uiPriority w:val="2"/>
    <w:unhideWhenUsed/>
    <w:qFormat/>
    <w:rsid w:val="002B7CA8"/>
    <w:pPr>
      <w:numPr>
        <w:ilvl w:val="1"/>
        <w:numId w:val="1"/>
      </w:numPr>
      <w:spacing w:before="240" w:after="120"/>
      <w:ind w:left="992" w:hanging="567"/>
      <w:outlineLvl w:val="1"/>
    </w:pPr>
    <w:rPr>
      <w:rFonts w:ascii="TH SarabunPSK" w:hAnsi="TH SarabunPSK" w:cs="TH SarabunPSK"/>
      <w:b/>
      <w:bCs/>
      <w:spacing w:val="5"/>
      <w:kern w:val="28"/>
      <w:sz w:val="36"/>
      <w:szCs w:val="36"/>
    </w:rPr>
  </w:style>
  <w:style w:type="paragraph" w:styleId="Heading3">
    <w:name w:val="heading 3"/>
    <w:next w:val="Normal"/>
    <w:link w:val="Heading3Char"/>
    <w:uiPriority w:val="2"/>
    <w:unhideWhenUsed/>
    <w:qFormat/>
    <w:rsid w:val="002B7CA8"/>
    <w:pPr>
      <w:keepNext/>
      <w:keepLines/>
      <w:numPr>
        <w:ilvl w:val="2"/>
        <w:numId w:val="1"/>
      </w:numPr>
      <w:spacing w:before="120"/>
      <w:ind w:left="1701" w:hanging="709"/>
      <w:outlineLvl w:val="2"/>
    </w:pPr>
    <w:rPr>
      <w:rFonts w:ascii="TH SarabunPSK" w:eastAsiaTheme="majorEastAsia" w:hAnsi="TH SarabunPSK" w:cs="TH SarabunPSK"/>
      <w:b/>
      <w:bCs/>
      <w:spacing w:val="5"/>
      <w:kern w:val="28"/>
      <w:sz w:val="32"/>
      <w:szCs w:val="32"/>
    </w:rPr>
  </w:style>
  <w:style w:type="paragraph" w:styleId="Heading4">
    <w:name w:val="heading 4"/>
    <w:basedOn w:val="Normal"/>
    <w:next w:val="BodyText"/>
    <w:link w:val="Heading4Char"/>
    <w:uiPriority w:val="2"/>
    <w:qFormat/>
    <w:rsid w:val="00EE5D6C"/>
    <w:pPr>
      <w:keepNext/>
      <w:keepLines/>
      <w:spacing w:before="200" w:after="60"/>
      <w:ind w:left="851" w:hanging="851"/>
      <w:outlineLvl w:val="3"/>
    </w:pPr>
    <w:rPr>
      <w:rFonts w:ascii="Arial" w:eastAsiaTheme="majorEastAsia" w:hAnsi="Arial" w:cstheme="majorBidi"/>
      <w:bCs/>
      <w:iCs/>
      <w:lang w:bidi="ar-SA"/>
    </w:rPr>
  </w:style>
  <w:style w:type="paragraph" w:styleId="Heading5">
    <w:name w:val="heading 5"/>
    <w:basedOn w:val="Normal"/>
    <w:next w:val="Normal"/>
    <w:link w:val="Heading5Char"/>
    <w:uiPriority w:val="9"/>
    <w:semiHidden/>
    <w:qFormat/>
    <w:rsid w:val="00EE5D6C"/>
    <w:pPr>
      <w:keepNext/>
      <w:keepLines/>
      <w:spacing w:before="200" w:after="60"/>
      <w:ind w:left="851" w:hanging="851"/>
      <w:outlineLvl w:val="4"/>
    </w:pPr>
    <w:rPr>
      <w:rFonts w:asciiTheme="majorHAnsi" w:eastAsiaTheme="majorEastAsia" w:hAnsiTheme="majorHAnsi" w:cstheme="majorBidi"/>
      <w:color w:val="5B9BD5" w:themeColor="accent1"/>
      <w:lang w:bidi="ar-SA"/>
    </w:rPr>
  </w:style>
  <w:style w:type="paragraph" w:styleId="Heading6">
    <w:name w:val="heading 6"/>
    <w:basedOn w:val="Normal"/>
    <w:next w:val="Normal"/>
    <w:link w:val="Heading6Char"/>
    <w:uiPriority w:val="9"/>
    <w:semiHidden/>
    <w:unhideWhenUsed/>
    <w:qFormat/>
    <w:rsid w:val="00EE5D6C"/>
    <w:pPr>
      <w:keepNext/>
      <w:keepLines/>
      <w:spacing w:before="200" w:after="60"/>
      <w:ind w:left="1152" w:hanging="1152"/>
      <w:outlineLvl w:val="5"/>
    </w:pPr>
    <w:rPr>
      <w:rFonts w:asciiTheme="majorHAnsi" w:eastAsiaTheme="majorEastAsia" w:hAnsiTheme="majorHAnsi" w:cstheme="majorBidi"/>
      <w:i/>
      <w:iCs/>
      <w:color w:val="5B9BD5" w:themeColor="accent1"/>
      <w:lang w:bidi="ar-SA"/>
    </w:rPr>
  </w:style>
  <w:style w:type="paragraph" w:styleId="Heading7">
    <w:name w:val="heading 7"/>
    <w:basedOn w:val="Normal"/>
    <w:next w:val="Normal"/>
    <w:link w:val="Heading7Char"/>
    <w:uiPriority w:val="9"/>
    <w:semiHidden/>
    <w:unhideWhenUsed/>
    <w:qFormat/>
    <w:rsid w:val="00EE5D6C"/>
    <w:pPr>
      <w:keepNext/>
      <w:keepLines/>
      <w:spacing w:before="40"/>
      <w:ind w:left="1296" w:hanging="1296"/>
      <w:outlineLvl w:val="6"/>
    </w:pPr>
    <w:rPr>
      <w:rFonts w:asciiTheme="majorHAnsi" w:eastAsiaTheme="majorEastAsia" w:hAnsiTheme="majorHAnsi" w:cstheme="majorBidi"/>
      <w:i/>
      <w:iCs/>
      <w:color w:val="1F4D78" w:themeColor="accent1" w:themeShade="7F"/>
      <w:lang w:bidi="ar-SA"/>
    </w:rPr>
  </w:style>
  <w:style w:type="paragraph" w:styleId="Heading8">
    <w:name w:val="heading 8"/>
    <w:basedOn w:val="Normal"/>
    <w:next w:val="Normal"/>
    <w:link w:val="Heading8Char"/>
    <w:uiPriority w:val="9"/>
    <w:semiHidden/>
    <w:unhideWhenUsed/>
    <w:qFormat/>
    <w:rsid w:val="00EE5D6C"/>
    <w:pPr>
      <w:keepNext/>
      <w:keepLines/>
      <w:spacing w:before="40"/>
      <w:ind w:left="1440" w:hanging="1440"/>
      <w:outlineLvl w:val="7"/>
    </w:pPr>
    <w:rPr>
      <w:rFonts w:asciiTheme="majorHAnsi" w:eastAsiaTheme="majorEastAsia" w:hAnsiTheme="majorHAnsi" w:cstheme="majorBidi"/>
      <w:color w:val="272727" w:themeColor="text1" w:themeTint="D8"/>
      <w:sz w:val="21"/>
      <w:szCs w:val="21"/>
      <w:lang w:bidi="ar-SA"/>
    </w:rPr>
  </w:style>
  <w:style w:type="paragraph" w:styleId="Heading9">
    <w:name w:val="heading 9"/>
    <w:basedOn w:val="Normal"/>
    <w:next w:val="Normal"/>
    <w:link w:val="Heading9Char"/>
    <w:uiPriority w:val="9"/>
    <w:semiHidden/>
    <w:unhideWhenUsed/>
    <w:qFormat/>
    <w:rsid w:val="00EE5D6C"/>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367B1D"/>
    <w:pPr>
      <w:contextualSpacing/>
      <w:jc w:val="center"/>
    </w:pPr>
    <w:rPr>
      <w:rFonts w:ascii="TH SarabunPSK" w:eastAsiaTheme="majorEastAsia" w:hAnsi="TH SarabunPSK" w:cs="TH SarabunPSK"/>
      <w:b/>
      <w:spacing w:val="-10"/>
      <w:kern w:val="28"/>
      <w:sz w:val="120"/>
      <w:szCs w:val="120"/>
    </w:rPr>
  </w:style>
  <w:style w:type="character" w:customStyle="1" w:styleId="TitleChar">
    <w:name w:val="Title Char"/>
    <w:basedOn w:val="DefaultParagraphFont"/>
    <w:link w:val="Title"/>
    <w:uiPriority w:val="10"/>
    <w:rsid w:val="00367B1D"/>
    <w:rPr>
      <w:rFonts w:ascii="TH SarabunPSK" w:eastAsiaTheme="majorEastAsia" w:hAnsi="TH SarabunPSK" w:cs="TH SarabunPSK"/>
      <w:b/>
      <w:spacing w:val="-10"/>
      <w:kern w:val="28"/>
      <w:sz w:val="120"/>
      <w:szCs w:val="120"/>
    </w:rPr>
  </w:style>
  <w:style w:type="paragraph" w:styleId="Header">
    <w:name w:val="header"/>
    <w:basedOn w:val="Normal"/>
    <w:link w:val="HeaderChar"/>
    <w:uiPriority w:val="99"/>
    <w:unhideWhenUsed/>
    <w:rsid w:val="0076117A"/>
    <w:pPr>
      <w:tabs>
        <w:tab w:val="center" w:pos="4680"/>
        <w:tab w:val="right" w:pos="9360"/>
      </w:tabs>
    </w:pPr>
  </w:style>
  <w:style w:type="character" w:customStyle="1" w:styleId="HeaderChar">
    <w:name w:val="Header Char"/>
    <w:basedOn w:val="DefaultParagraphFont"/>
    <w:link w:val="Header"/>
    <w:uiPriority w:val="99"/>
    <w:rsid w:val="0076117A"/>
  </w:style>
  <w:style w:type="paragraph" w:styleId="Footer">
    <w:name w:val="footer"/>
    <w:basedOn w:val="Normal"/>
    <w:link w:val="FooterChar"/>
    <w:uiPriority w:val="99"/>
    <w:unhideWhenUsed/>
    <w:rsid w:val="0076117A"/>
    <w:pPr>
      <w:tabs>
        <w:tab w:val="center" w:pos="4680"/>
        <w:tab w:val="right" w:pos="9360"/>
      </w:tabs>
    </w:pPr>
  </w:style>
  <w:style w:type="character" w:customStyle="1" w:styleId="FooterChar">
    <w:name w:val="Footer Char"/>
    <w:basedOn w:val="DefaultParagraphFont"/>
    <w:link w:val="Footer"/>
    <w:uiPriority w:val="99"/>
    <w:rsid w:val="0076117A"/>
  </w:style>
  <w:style w:type="character" w:customStyle="1" w:styleId="Heading1Char">
    <w:name w:val="Heading 1 Char"/>
    <w:basedOn w:val="DefaultParagraphFont"/>
    <w:link w:val="Heading1"/>
    <w:uiPriority w:val="2"/>
    <w:rsid w:val="002B7CA8"/>
    <w:rPr>
      <w:rFonts w:ascii="TH SarabunPSK" w:eastAsiaTheme="majorEastAsia" w:hAnsi="TH SarabunPSK" w:cs="TH SarabunPSK"/>
      <w:b/>
      <w:bCs/>
      <w:spacing w:val="5"/>
      <w:kern w:val="28"/>
      <w:sz w:val="40"/>
      <w:szCs w:val="40"/>
    </w:rPr>
  </w:style>
  <w:style w:type="paragraph" w:styleId="ListParagraph">
    <w:name w:val="List Paragraph"/>
    <w:aliases w:val="Bulleted List Paragraph"/>
    <w:basedOn w:val="Normal"/>
    <w:link w:val="ListParagraphChar"/>
    <w:uiPriority w:val="1"/>
    <w:qFormat/>
    <w:rsid w:val="0034572E"/>
    <w:pPr>
      <w:ind w:left="720"/>
      <w:contextualSpacing/>
    </w:pPr>
  </w:style>
  <w:style w:type="character" w:customStyle="1" w:styleId="Heading2Char">
    <w:name w:val="Heading 2 Char"/>
    <w:basedOn w:val="DefaultParagraphFont"/>
    <w:link w:val="Heading2"/>
    <w:uiPriority w:val="2"/>
    <w:rsid w:val="002B7CA8"/>
    <w:rPr>
      <w:rFonts w:ascii="TH SarabunPSK" w:hAnsi="TH SarabunPSK" w:cs="TH SarabunPSK"/>
      <w:b/>
      <w:bCs/>
      <w:spacing w:val="5"/>
      <w:kern w:val="28"/>
      <w:sz w:val="36"/>
      <w:szCs w:val="36"/>
    </w:rPr>
  </w:style>
  <w:style w:type="character" w:customStyle="1" w:styleId="Heading3Char">
    <w:name w:val="Heading 3 Char"/>
    <w:basedOn w:val="DefaultParagraphFont"/>
    <w:link w:val="Heading3"/>
    <w:uiPriority w:val="2"/>
    <w:rsid w:val="002B7CA8"/>
    <w:rPr>
      <w:rFonts w:ascii="TH SarabunPSK" w:eastAsiaTheme="majorEastAsia" w:hAnsi="TH SarabunPSK" w:cs="TH SarabunPSK"/>
      <w:b/>
      <w:bCs/>
      <w:spacing w:val="5"/>
      <w:kern w:val="28"/>
      <w:sz w:val="32"/>
      <w:szCs w:val="32"/>
    </w:rPr>
  </w:style>
  <w:style w:type="paragraph" w:styleId="TOCHeading">
    <w:name w:val="TOC Heading"/>
    <w:basedOn w:val="Heading1"/>
    <w:next w:val="Normal"/>
    <w:uiPriority w:val="39"/>
    <w:unhideWhenUsed/>
    <w:rsid w:val="00B07601"/>
    <w:pPr>
      <w:numPr>
        <w:numId w:val="0"/>
      </w:numPr>
      <w:spacing w:after="0" w:line="259" w:lineRule="auto"/>
      <w:outlineLvl w:val="9"/>
    </w:pPr>
    <w:rPr>
      <w:rFonts w:asciiTheme="majorHAnsi" w:hAnsiTheme="majorHAnsi" w:cstheme="majorBidi"/>
      <w:b w:val="0"/>
      <w:bCs w:val="0"/>
      <w:color w:val="2E74B5" w:themeColor="accent1" w:themeShade="BF"/>
      <w:szCs w:val="32"/>
      <w:lang w:bidi="ar-SA"/>
    </w:rPr>
  </w:style>
  <w:style w:type="paragraph" w:styleId="TOC1">
    <w:name w:val="toc 1"/>
    <w:basedOn w:val="Normal"/>
    <w:next w:val="Normal"/>
    <w:autoRedefine/>
    <w:uiPriority w:val="39"/>
    <w:unhideWhenUsed/>
    <w:rsid w:val="009B7FA9"/>
    <w:pPr>
      <w:tabs>
        <w:tab w:val="left" w:pos="426"/>
        <w:tab w:val="right" w:leader="dot" w:pos="9678"/>
      </w:tabs>
      <w:spacing w:before="120"/>
    </w:pPr>
    <w:rPr>
      <w:rFonts w:cs="Angsana New"/>
      <w:szCs w:val="40"/>
    </w:rPr>
  </w:style>
  <w:style w:type="paragraph" w:styleId="TOC2">
    <w:name w:val="toc 2"/>
    <w:basedOn w:val="Normal"/>
    <w:next w:val="Normal"/>
    <w:autoRedefine/>
    <w:uiPriority w:val="39"/>
    <w:unhideWhenUsed/>
    <w:rsid w:val="009B7FA9"/>
    <w:pPr>
      <w:tabs>
        <w:tab w:val="left" w:pos="993"/>
        <w:tab w:val="right" w:leader="dot" w:pos="9678"/>
      </w:tabs>
      <w:ind w:left="992" w:hanging="567"/>
    </w:pPr>
    <w:rPr>
      <w:rFonts w:cs="Angsana New"/>
      <w:szCs w:val="40"/>
    </w:rPr>
  </w:style>
  <w:style w:type="paragraph" w:styleId="TOC3">
    <w:name w:val="toc 3"/>
    <w:basedOn w:val="Normal"/>
    <w:next w:val="Normal"/>
    <w:autoRedefine/>
    <w:uiPriority w:val="39"/>
    <w:unhideWhenUsed/>
    <w:rsid w:val="009B7FA9"/>
    <w:pPr>
      <w:tabs>
        <w:tab w:val="left" w:pos="1701"/>
        <w:tab w:val="right" w:leader="dot" w:pos="9678"/>
      </w:tabs>
      <w:ind w:left="1701" w:hanging="709"/>
    </w:pPr>
    <w:rPr>
      <w:rFonts w:cs="Angsana New"/>
      <w:szCs w:val="40"/>
    </w:rPr>
  </w:style>
  <w:style w:type="character" w:styleId="Hyperlink">
    <w:name w:val="Hyperlink"/>
    <w:basedOn w:val="DefaultParagraphFont"/>
    <w:uiPriority w:val="99"/>
    <w:unhideWhenUsed/>
    <w:rsid w:val="00B07601"/>
    <w:rPr>
      <w:color w:val="0563C1" w:themeColor="hyperlink"/>
      <w:u w:val="single"/>
    </w:rPr>
  </w:style>
  <w:style w:type="table" w:customStyle="1" w:styleId="TableGrid2">
    <w:name w:val="Table Grid2"/>
    <w:basedOn w:val="TableNormal"/>
    <w:next w:val="TableGrid"/>
    <w:uiPriority w:val="39"/>
    <w:rsid w:val="00923551"/>
    <w:rPr>
      <w:rFonts w:ascii="Calibri" w:eastAsia="Calibri" w:hAnsi="Calibri" w:cs="Cordia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E2467"/>
    <w:rPr>
      <w:rFonts w:ascii="Segoe UI" w:hAnsi="Segoe UI" w:cs="Angsana New"/>
      <w:sz w:val="18"/>
    </w:rPr>
  </w:style>
  <w:style w:type="character" w:customStyle="1" w:styleId="BalloonTextChar">
    <w:name w:val="Balloon Text Char"/>
    <w:basedOn w:val="DefaultParagraphFont"/>
    <w:link w:val="BalloonText"/>
    <w:uiPriority w:val="99"/>
    <w:semiHidden/>
    <w:rsid w:val="005E2467"/>
    <w:rPr>
      <w:rFonts w:ascii="Segoe UI" w:hAnsi="Segoe UI" w:cs="Angsana New"/>
      <w:sz w:val="18"/>
      <w:szCs w:val="22"/>
      <w:lang w:val="en-GB"/>
    </w:rPr>
  </w:style>
  <w:style w:type="paragraph" w:customStyle="1" w:styleId="1">
    <w:name w:val="1"/>
    <w:basedOn w:val="ListParagraph"/>
    <w:link w:val="1Char"/>
    <w:rsid w:val="00E32B28"/>
    <w:pPr>
      <w:numPr>
        <w:numId w:val="2"/>
      </w:numPr>
      <w:spacing w:before="120" w:after="120"/>
      <w:contextualSpacing w:val="0"/>
      <w:outlineLvl w:val="0"/>
    </w:pPr>
    <w:rPr>
      <w:rFonts w:ascii="Arial" w:eastAsia="Calibri" w:hAnsi="Arial" w:cs="Arial"/>
      <w:b/>
      <w:sz w:val="24"/>
      <w:lang w:bidi="ar-SA"/>
    </w:rPr>
  </w:style>
  <w:style w:type="paragraph" w:customStyle="1" w:styleId="11">
    <w:name w:val="1.1."/>
    <w:basedOn w:val="ListParagraph"/>
    <w:link w:val="11Char"/>
    <w:rsid w:val="00E32B28"/>
    <w:pPr>
      <w:keepNext/>
      <w:numPr>
        <w:ilvl w:val="1"/>
        <w:numId w:val="2"/>
      </w:numPr>
      <w:spacing w:before="120" w:after="120"/>
      <w:ind w:left="567"/>
      <w:contextualSpacing w:val="0"/>
      <w:outlineLvl w:val="1"/>
    </w:pPr>
    <w:rPr>
      <w:rFonts w:ascii="Arial" w:eastAsia="Calibri" w:hAnsi="Arial" w:cs="Arial"/>
      <w:lang w:bidi="ar-SA"/>
    </w:rPr>
  </w:style>
  <w:style w:type="character" w:customStyle="1" w:styleId="11Char">
    <w:name w:val="1.1. Char"/>
    <w:basedOn w:val="DefaultParagraphFont"/>
    <w:link w:val="11"/>
    <w:rsid w:val="00217FA6"/>
    <w:rPr>
      <w:rFonts w:ascii="Arial" w:eastAsia="Calibri" w:hAnsi="Arial" w:cs="Arial"/>
      <w:spacing w:val="5"/>
      <w:kern w:val="28"/>
      <w:sz w:val="32"/>
      <w:szCs w:val="32"/>
      <w:lang w:bidi="ar-SA"/>
    </w:rPr>
  </w:style>
  <w:style w:type="paragraph" w:customStyle="1" w:styleId="Action">
    <w:name w:val="Action"/>
    <w:basedOn w:val="ListParagraph"/>
    <w:link w:val="ActionChar"/>
    <w:rsid w:val="00217FA6"/>
    <w:pPr>
      <w:numPr>
        <w:numId w:val="3"/>
      </w:numPr>
      <w:spacing w:before="120" w:after="120"/>
      <w:contextualSpacing w:val="0"/>
    </w:pPr>
    <w:rPr>
      <w:rFonts w:ascii="Arial" w:eastAsia="Calibri" w:hAnsi="Arial" w:cs="Arial"/>
      <w:lang w:bidi="ar-SA"/>
    </w:rPr>
  </w:style>
  <w:style w:type="character" w:customStyle="1" w:styleId="ActionChar">
    <w:name w:val="Action Char"/>
    <w:basedOn w:val="DefaultParagraphFont"/>
    <w:link w:val="Action"/>
    <w:rsid w:val="00217FA6"/>
    <w:rPr>
      <w:rFonts w:ascii="Arial" w:eastAsia="Calibri" w:hAnsi="Arial" w:cs="Arial"/>
      <w:spacing w:val="5"/>
      <w:kern w:val="28"/>
      <w:sz w:val="32"/>
      <w:szCs w:val="32"/>
      <w:lang w:bidi="ar-SA"/>
    </w:rPr>
  </w:style>
  <w:style w:type="paragraph" w:styleId="FootnoteText">
    <w:name w:val="footnote text"/>
    <w:basedOn w:val="Normal"/>
    <w:link w:val="FootnoteTextChar"/>
    <w:uiPriority w:val="99"/>
    <w:semiHidden/>
    <w:unhideWhenUsed/>
    <w:rsid w:val="00217FA6"/>
    <w:pPr>
      <w:spacing w:before="0"/>
    </w:pPr>
    <w:rPr>
      <w:sz w:val="20"/>
      <w:szCs w:val="20"/>
      <w:lang w:bidi="ar-SA"/>
    </w:rPr>
  </w:style>
  <w:style w:type="character" w:customStyle="1" w:styleId="FootnoteTextChar">
    <w:name w:val="Footnote Text Char"/>
    <w:basedOn w:val="DefaultParagraphFont"/>
    <w:link w:val="FootnoteText"/>
    <w:uiPriority w:val="99"/>
    <w:semiHidden/>
    <w:rsid w:val="00217FA6"/>
    <w:rPr>
      <w:sz w:val="20"/>
      <w:szCs w:val="20"/>
      <w:lang w:val="en-GB" w:bidi="ar-SA"/>
    </w:rPr>
  </w:style>
  <w:style w:type="character" w:styleId="FootnoteReference">
    <w:name w:val="footnote reference"/>
    <w:basedOn w:val="DefaultParagraphFont"/>
    <w:uiPriority w:val="99"/>
    <w:semiHidden/>
    <w:unhideWhenUsed/>
    <w:rsid w:val="00217FA6"/>
    <w:rPr>
      <w:vertAlign w:val="superscript"/>
    </w:rPr>
  </w:style>
  <w:style w:type="paragraph" w:customStyle="1" w:styleId="Default">
    <w:name w:val="Default"/>
    <w:rsid w:val="00217FA6"/>
    <w:pPr>
      <w:autoSpaceDE w:val="0"/>
      <w:autoSpaceDN w:val="0"/>
      <w:adjustRightInd w:val="0"/>
    </w:pPr>
    <w:rPr>
      <w:rFonts w:ascii="Arial" w:hAnsi="Arial" w:cs="Arial"/>
      <w:color w:val="000000"/>
      <w:sz w:val="24"/>
      <w:szCs w:val="24"/>
      <w:lang w:val="en-GB" w:bidi="ar-SA"/>
    </w:rPr>
  </w:style>
  <w:style w:type="paragraph" w:styleId="BodyTextIndent2">
    <w:name w:val="Body Text Indent 2"/>
    <w:basedOn w:val="Normal"/>
    <w:link w:val="BodyTextIndent2Char"/>
    <w:uiPriority w:val="99"/>
    <w:unhideWhenUsed/>
    <w:rsid w:val="00217FA6"/>
    <w:pPr>
      <w:spacing w:before="120" w:after="120" w:line="480" w:lineRule="auto"/>
      <w:ind w:left="283"/>
    </w:pPr>
    <w:rPr>
      <w:rFonts w:ascii="Arial" w:eastAsia="Calibri" w:hAnsi="Arial" w:cs="Arial"/>
      <w:lang w:bidi="ar-SA"/>
    </w:rPr>
  </w:style>
  <w:style w:type="character" w:customStyle="1" w:styleId="BodyTextIndent2Char">
    <w:name w:val="Body Text Indent 2 Char"/>
    <w:basedOn w:val="DefaultParagraphFont"/>
    <w:link w:val="BodyTextIndent2"/>
    <w:uiPriority w:val="99"/>
    <w:rsid w:val="00217FA6"/>
    <w:rPr>
      <w:rFonts w:ascii="Arial" w:eastAsia="Calibri" w:hAnsi="Arial" w:cs="Arial"/>
      <w:szCs w:val="22"/>
      <w:lang w:val="en-GB" w:bidi="ar-SA"/>
    </w:rPr>
  </w:style>
  <w:style w:type="paragraph" w:customStyle="1" w:styleId="4-4">
    <w:name w:val="4-4"/>
    <w:basedOn w:val="Normal"/>
    <w:rsid w:val="00217FA6"/>
    <w:pPr>
      <w:overflowPunct w:val="0"/>
      <w:autoSpaceDE w:val="0"/>
      <w:autoSpaceDN w:val="0"/>
      <w:adjustRightInd w:val="0"/>
      <w:spacing w:before="0"/>
      <w:ind w:left="947" w:hanging="947"/>
      <w:textAlignment w:val="baseline"/>
    </w:pPr>
    <w:rPr>
      <w:rFonts w:ascii="Times New Roman" w:eastAsia="Times New Roman" w:hAnsi="Times New Roman" w:cs="Times New Roman"/>
      <w:color w:val="000000"/>
      <w:szCs w:val="20"/>
      <w:lang w:bidi="ar-SA"/>
    </w:rPr>
  </w:style>
  <w:style w:type="paragraph" w:customStyle="1" w:styleId="Boldheading">
    <w:name w:val="Bold heading"/>
    <w:basedOn w:val="Normal"/>
    <w:rsid w:val="00217FA6"/>
    <w:pPr>
      <w:tabs>
        <w:tab w:val="left" w:pos="960"/>
      </w:tabs>
      <w:overflowPunct w:val="0"/>
      <w:autoSpaceDE w:val="0"/>
      <w:autoSpaceDN w:val="0"/>
      <w:adjustRightInd w:val="0"/>
      <w:spacing w:before="0" w:line="260" w:lineRule="exact"/>
      <w:ind w:left="960" w:hanging="960"/>
      <w:textAlignment w:val="baseline"/>
    </w:pPr>
    <w:rPr>
      <w:rFonts w:ascii="Times New Roman" w:eastAsia="Times New Roman" w:hAnsi="Times New Roman" w:cs="Times New Roman"/>
      <w:b/>
      <w:color w:val="000000"/>
      <w:szCs w:val="20"/>
      <w:lang w:bidi="ar-SA"/>
    </w:rPr>
  </w:style>
  <w:style w:type="paragraph" w:customStyle="1" w:styleId="N1">
    <w:name w:val="N1"/>
    <w:basedOn w:val="Normal"/>
    <w:next w:val="Normal"/>
    <w:rsid w:val="00217FA6"/>
    <w:pPr>
      <w:numPr>
        <w:numId w:val="4"/>
      </w:numPr>
      <w:spacing w:before="160" w:line="220" w:lineRule="atLeast"/>
    </w:pPr>
    <w:rPr>
      <w:rFonts w:ascii="Times New Roman" w:eastAsia="Times New Roman" w:hAnsi="Times New Roman" w:cs="Times New Roman"/>
      <w:sz w:val="21"/>
      <w:szCs w:val="20"/>
      <w:lang w:bidi="ar-SA"/>
    </w:rPr>
  </w:style>
  <w:style w:type="paragraph" w:customStyle="1" w:styleId="H2">
    <w:name w:val="H2"/>
    <w:basedOn w:val="Heading2"/>
    <w:next w:val="Normal"/>
    <w:rsid w:val="00217FA6"/>
    <w:pPr>
      <w:keepNext/>
      <w:numPr>
        <w:numId w:val="4"/>
      </w:numPr>
      <w:tabs>
        <w:tab w:val="num" w:pos="360"/>
      </w:tabs>
      <w:spacing w:before="80" w:after="0" w:line="220" w:lineRule="atLeast"/>
      <w:ind w:left="567" w:firstLine="0"/>
      <w:outlineLvl w:val="9"/>
    </w:pPr>
    <w:rPr>
      <w:rFonts w:ascii="Times New Roman" w:eastAsia="Times New Roman" w:hAnsi="Times New Roman" w:cs="Times New Roman"/>
      <w:b w:val="0"/>
      <w:bCs w:val="0"/>
      <w:i/>
      <w:sz w:val="21"/>
      <w:szCs w:val="20"/>
      <w:lang w:bidi="ar-SA"/>
    </w:rPr>
  </w:style>
  <w:style w:type="paragraph" w:customStyle="1" w:styleId="N3">
    <w:name w:val="N3"/>
    <w:basedOn w:val="Normal"/>
    <w:rsid w:val="00217FA6"/>
    <w:pPr>
      <w:numPr>
        <w:ilvl w:val="2"/>
        <w:numId w:val="4"/>
      </w:numPr>
      <w:spacing w:before="80" w:line="220" w:lineRule="atLeast"/>
    </w:pPr>
    <w:rPr>
      <w:rFonts w:ascii="Times New Roman" w:eastAsia="Times New Roman" w:hAnsi="Times New Roman" w:cs="Times New Roman"/>
      <w:sz w:val="21"/>
      <w:szCs w:val="20"/>
      <w:lang w:bidi="ar-SA"/>
    </w:rPr>
  </w:style>
  <w:style w:type="paragraph" w:customStyle="1" w:styleId="N4">
    <w:name w:val="N4"/>
    <w:basedOn w:val="N3"/>
    <w:rsid w:val="00217FA6"/>
    <w:pPr>
      <w:numPr>
        <w:ilvl w:val="3"/>
      </w:numPr>
      <w:tabs>
        <w:tab w:val="clear" w:pos="1134"/>
        <w:tab w:val="num" w:pos="360"/>
      </w:tabs>
      <w:ind w:left="936" w:hanging="360"/>
    </w:pPr>
  </w:style>
  <w:style w:type="paragraph" w:customStyle="1" w:styleId="N5">
    <w:name w:val="N5"/>
    <w:basedOn w:val="N4"/>
    <w:rsid w:val="00217FA6"/>
    <w:pPr>
      <w:numPr>
        <w:ilvl w:val="4"/>
      </w:numPr>
      <w:tabs>
        <w:tab w:val="clear" w:pos="1701"/>
        <w:tab w:val="num" w:pos="360"/>
      </w:tabs>
      <w:ind w:left="936" w:hanging="360"/>
    </w:pPr>
  </w:style>
  <w:style w:type="character" w:styleId="CommentReference">
    <w:name w:val="annotation reference"/>
    <w:basedOn w:val="DefaultParagraphFont"/>
    <w:uiPriority w:val="99"/>
    <w:semiHidden/>
    <w:unhideWhenUsed/>
    <w:rsid w:val="00336C8C"/>
    <w:rPr>
      <w:sz w:val="16"/>
      <w:szCs w:val="16"/>
    </w:rPr>
  </w:style>
  <w:style w:type="paragraph" w:styleId="CommentText">
    <w:name w:val="annotation text"/>
    <w:basedOn w:val="Normal"/>
    <w:link w:val="CommentTextChar"/>
    <w:uiPriority w:val="99"/>
    <w:semiHidden/>
    <w:unhideWhenUsed/>
    <w:rsid w:val="00336C8C"/>
    <w:pPr>
      <w:spacing w:before="120" w:after="120"/>
      <w:ind w:left="567"/>
    </w:pPr>
    <w:rPr>
      <w:rFonts w:ascii="Arial" w:eastAsia="Calibri" w:hAnsi="Arial" w:cs="Arial"/>
      <w:sz w:val="20"/>
      <w:szCs w:val="20"/>
      <w:lang w:bidi="ar-SA"/>
    </w:rPr>
  </w:style>
  <w:style w:type="character" w:customStyle="1" w:styleId="CommentTextChar">
    <w:name w:val="Comment Text Char"/>
    <w:basedOn w:val="DefaultParagraphFont"/>
    <w:link w:val="CommentText"/>
    <w:uiPriority w:val="99"/>
    <w:semiHidden/>
    <w:rsid w:val="00336C8C"/>
    <w:rPr>
      <w:rFonts w:ascii="Arial" w:eastAsia="Calibri" w:hAnsi="Arial" w:cs="Arial"/>
      <w:sz w:val="20"/>
      <w:szCs w:val="20"/>
      <w:lang w:val="en-GB" w:bidi="ar-SA"/>
    </w:rPr>
  </w:style>
  <w:style w:type="character" w:customStyle="1" w:styleId="1Char">
    <w:name w:val="1 Char"/>
    <w:link w:val="1"/>
    <w:rsid w:val="00336C8C"/>
    <w:rPr>
      <w:rFonts w:ascii="Arial" w:eastAsia="Calibri" w:hAnsi="Arial" w:cs="Arial"/>
      <w:b/>
      <w:spacing w:val="5"/>
      <w:kern w:val="28"/>
      <w:sz w:val="24"/>
      <w:szCs w:val="32"/>
      <w:lang w:bidi="ar-SA"/>
    </w:rPr>
  </w:style>
  <w:style w:type="paragraph" w:styleId="BodyText">
    <w:name w:val="Body Text"/>
    <w:basedOn w:val="Normal"/>
    <w:link w:val="BodyTextChar"/>
    <w:uiPriority w:val="99"/>
    <w:semiHidden/>
    <w:unhideWhenUsed/>
    <w:rsid w:val="00654B55"/>
    <w:pPr>
      <w:spacing w:after="120"/>
    </w:pPr>
    <w:rPr>
      <w:rFonts w:cs="Angsana New"/>
      <w:szCs w:val="40"/>
    </w:rPr>
  </w:style>
  <w:style w:type="character" w:customStyle="1" w:styleId="BodyTextChar">
    <w:name w:val="Body Text Char"/>
    <w:basedOn w:val="DefaultParagraphFont"/>
    <w:link w:val="BodyText"/>
    <w:uiPriority w:val="99"/>
    <w:semiHidden/>
    <w:rsid w:val="00654B55"/>
    <w:rPr>
      <w:rFonts w:ascii="TH SarabunPSK" w:hAnsi="TH SarabunPSK" w:cs="Angsana New"/>
      <w:sz w:val="32"/>
      <w:szCs w:val="40"/>
      <w:lang w:val="en-GB"/>
    </w:rPr>
  </w:style>
  <w:style w:type="character" w:customStyle="1" w:styleId="Heading4Char">
    <w:name w:val="Heading 4 Char"/>
    <w:basedOn w:val="DefaultParagraphFont"/>
    <w:link w:val="Heading4"/>
    <w:uiPriority w:val="2"/>
    <w:rsid w:val="00EE5D6C"/>
    <w:rPr>
      <w:rFonts w:ascii="Arial" w:eastAsiaTheme="majorEastAsia" w:hAnsi="Arial" w:cstheme="majorBidi"/>
      <w:bCs/>
      <w:iCs/>
      <w:szCs w:val="22"/>
      <w:lang w:val="en-GB" w:bidi="ar-SA"/>
    </w:rPr>
  </w:style>
  <w:style w:type="character" w:customStyle="1" w:styleId="Heading5Char">
    <w:name w:val="Heading 5 Char"/>
    <w:basedOn w:val="DefaultParagraphFont"/>
    <w:link w:val="Heading5"/>
    <w:uiPriority w:val="9"/>
    <w:semiHidden/>
    <w:rsid w:val="00EE5D6C"/>
    <w:rPr>
      <w:rFonts w:asciiTheme="majorHAnsi" w:eastAsiaTheme="majorEastAsia" w:hAnsiTheme="majorHAnsi" w:cstheme="majorBidi"/>
      <w:color w:val="5B9BD5" w:themeColor="accent1"/>
      <w:szCs w:val="22"/>
      <w:lang w:val="en-GB" w:bidi="ar-SA"/>
    </w:rPr>
  </w:style>
  <w:style w:type="character" w:customStyle="1" w:styleId="Heading6Char">
    <w:name w:val="Heading 6 Char"/>
    <w:basedOn w:val="DefaultParagraphFont"/>
    <w:link w:val="Heading6"/>
    <w:uiPriority w:val="9"/>
    <w:semiHidden/>
    <w:rsid w:val="00EE5D6C"/>
    <w:rPr>
      <w:rFonts w:asciiTheme="majorHAnsi" w:eastAsiaTheme="majorEastAsia" w:hAnsiTheme="majorHAnsi" w:cstheme="majorBidi"/>
      <w:i/>
      <w:iCs/>
      <w:color w:val="5B9BD5" w:themeColor="accent1"/>
      <w:szCs w:val="22"/>
      <w:lang w:val="en-GB" w:bidi="ar-SA"/>
    </w:rPr>
  </w:style>
  <w:style w:type="character" w:customStyle="1" w:styleId="Heading7Char">
    <w:name w:val="Heading 7 Char"/>
    <w:basedOn w:val="DefaultParagraphFont"/>
    <w:link w:val="Heading7"/>
    <w:uiPriority w:val="9"/>
    <w:semiHidden/>
    <w:rsid w:val="00EE5D6C"/>
    <w:rPr>
      <w:rFonts w:asciiTheme="majorHAnsi" w:eastAsiaTheme="majorEastAsia" w:hAnsiTheme="majorHAnsi" w:cstheme="majorBidi"/>
      <w:i/>
      <w:iCs/>
      <w:color w:val="1F4D78" w:themeColor="accent1" w:themeShade="7F"/>
      <w:szCs w:val="22"/>
      <w:lang w:val="en-GB" w:bidi="ar-SA"/>
    </w:rPr>
  </w:style>
  <w:style w:type="character" w:customStyle="1" w:styleId="Heading8Char">
    <w:name w:val="Heading 8 Char"/>
    <w:basedOn w:val="DefaultParagraphFont"/>
    <w:link w:val="Heading8"/>
    <w:uiPriority w:val="9"/>
    <w:semiHidden/>
    <w:rsid w:val="00EE5D6C"/>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uiPriority w:val="9"/>
    <w:semiHidden/>
    <w:rsid w:val="00EE5D6C"/>
    <w:rPr>
      <w:rFonts w:asciiTheme="majorHAnsi" w:eastAsiaTheme="majorEastAsia" w:hAnsiTheme="majorHAnsi" w:cstheme="majorBidi"/>
      <w:i/>
      <w:iCs/>
      <w:color w:val="272727" w:themeColor="text1" w:themeTint="D8"/>
      <w:sz w:val="21"/>
      <w:szCs w:val="21"/>
      <w:lang w:val="en-GB" w:bidi="ar-SA"/>
    </w:rPr>
  </w:style>
  <w:style w:type="character" w:styleId="PlaceholderText">
    <w:name w:val="Placeholder Text"/>
    <w:basedOn w:val="DefaultParagraphFont"/>
    <w:uiPriority w:val="99"/>
    <w:semiHidden/>
    <w:rsid w:val="00EE5D6C"/>
    <w:rPr>
      <w:color w:val="808080"/>
    </w:rPr>
  </w:style>
  <w:style w:type="paragraph" w:customStyle="1" w:styleId="Bodynos">
    <w:name w:val="Body nos"/>
    <w:basedOn w:val="Heading2"/>
    <w:link w:val="BodynosChar"/>
    <w:rsid w:val="00993A55"/>
    <w:pPr>
      <w:keepNext/>
      <w:keepLines/>
      <w:numPr>
        <w:ilvl w:val="3"/>
      </w:numPr>
      <w:ind w:right="284"/>
    </w:pPr>
    <w:rPr>
      <w:sz w:val="32"/>
      <w:szCs w:val="32"/>
    </w:rPr>
  </w:style>
  <w:style w:type="paragraph" w:customStyle="1" w:styleId="111tab">
    <w:name w:val="1.1.1 tab"/>
    <w:basedOn w:val="Normal"/>
    <w:link w:val="111tabChar"/>
    <w:rsid w:val="00407CE5"/>
    <w:pPr>
      <w:ind w:left="1276"/>
    </w:pPr>
  </w:style>
  <w:style w:type="character" w:customStyle="1" w:styleId="BodynosChar">
    <w:name w:val="Body nos Char"/>
    <w:basedOn w:val="Heading2Char"/>
    <w:link w:val="Bodynos"/>
    <w:rsid w:val="00993A55"/>
    <w:rPr>
      <w:rFonts w:ascii="TH SarabunPSK" w:hAnsi="TH SarabunPSK" w:cs="TH SarabunPSK"/>
      <w:b/>
      <w:bCs/>
      <w:spacing w:val="5"/>
      <w:kern w:val="28"/>
      <w:sz w:val="32"/>
      <w:szCs w:val="32"/>
    </w:rPr>
  </w:style>
  <w:style w:type="character" w:customStyle="1" w:styleId="111tabChar">
    <w:name w:val="1.1.1 tab Char"/>
    <w:basedOn w:val="DefaultParagraphFont"/>
    <w:link w:val="111tab"/>
    <w:rsid w:val="00407CE5"/>
    <w:rPr>
      <w:rFonts w:ascii="TH SarabunPSK" w:hAnsi="TH SarabunPSK" w:cs="TH SarabunPSK"/>
      <w:sz w:val="32"/>
      <w:szCs w:val="32"/>
      <w:lang w:val="en-GB"/>
    </w:rPr>
  </w:style>
  <w:style w:type="paragraph" w:customStyle="1" w:styleId="ILB">
    <w:name w:val="ILB"/>
    <w:link w:val="ILBChar"/>
    <w:qFormat/>
    <w:rsid w:val="002D3318"/>
    <w:pPr>
      <w:jc w:val="center"/>
    </w:pPr>
    <w:rPr>
      <w:rFonts w:ascii="TH SarabunPSK" w:hAnsi="TH SarabunPSK" w:cs="TH SarabunPSK"/>
      <w:b/>
      <w:spacing w:val="5"/>
      <w:kern w:val="28"/>
      <w:sz w:val="32"/>
      <w:szCs w:val="32"/>
    </w:rPr>
  </w:style>
  <w:style w:type="paragraph" w:customStyle="1" w:styleId="CAATHeader">
    <w:name w:val="CAAT Header"/>
    <w:link w:val="CAATHeaderChar"/>
    <w:qFormat/>
    <w:rsid w:val="005854B7"/>
    <w:pPr>
      <w:jc w:val="right"/>
    </w:pPr>
    <w:rPr>
      <w:rFonts w:ascii="TH SarabunPSK" w:hAnsi="TH SarabunPSK" w:cs="TH SarabunPSK"/>
      <w:noProof/>
      <w:spacing w:val="5"/>
      <w:kern w:val="28"/>
      <w:sz w:val="32"/>
      <w:szCs w:val="32"/>
    </w:rPr>
  </w:style>
  <w:style w:type="character" w:customStyle="1" w:styleId="ILBChar">
    <w:name w:val="ILB Char"/>
    <w:basedOn w:val="DefaultParagraphFont"/>
    <w:link w:val="ILB"/>
    <w:rsid w:val="002D3318"/>
    <w:rPr>
      <w:rFonts w:ascii="TH SarabunPSK" w:hAnsi="TH SarabunPSK" w:cs="TH SarabunPSK"/>
      <w:b/>
      <w:spacing w:val="5"/>
      <w:kern w:val="28"/>
      <w:sz w:val="32"/>
      <w:szCs w:val="32"/>
    </w:rPr>
  </w:style>
  <w:style w:type="paragraph" w:customStyle="1" w:styleId="Table">
    <w:name w:val="Table"/>
    <w:link w:val="TableChar"/>
    <w:qFormat/>
    <w:rsid w:val="0055093B"/>
    <w:pPr>
      <w:spacing w:before="120" w:after="60" w:line="280" w:lineRule="exact"/>
    </w:pPr>
    <w:rPr>
      <w:rFonts w:ascii="TH SarabunPSK" w:eastAsia="Calibri" w:hAnsi="TH SarabunPSK" w:cs="TH SarabunPSK"/>
      <w:spacing w:val="5"/>
      <w:kern w:val="28"/>
      <w:sz w:val="32"/>
      <w:szCs w:val="32"/>
    </w:rPr>
  </w:style>
  <w:style w:type="character" w:customStyle="1" w:styleId="CAATHeaderChar">
    <w:name w:val="CAAT Header Char"/>
    <w:basedOn w:val="HeaderChar"/>
    <w:link w:val="CAATHeader"/>
    <w:rsid w:val="005854B7"/>
    <w:rPr>
      <w:rFonts w:ascii="TH SarabunPSK" w:hAnsi="TH SarabunPSK" w:cs="TH SarabunPSK"/>
      <w:noProof/>
      <w:spacing w:val="5"/>
      <w:kern w:val="28"/>
      <w:sz w:val="32"/>
      <w:szCs w:val="32"/>
    </w:rPr>
  </w:style>
  <w:style w:type="paragraph" w:customStyle="1" w:styleId="CAATFooter">
    <w:name w:val="CAAT Footer"/>
    <w:link w:val="CAATFooterChar"/>
    <w:qFormat/>
    <w:rsid w:val="006E6F28"/>
    <w:pPr>
      <w:jc w:val="right"/>
    </w:pPr>
    <w:rPr>
      <w:rFonts w:ascii="TH SarabunPSK" w:hAnsi="TH SarabunPSK" w:cs="TH SarabunPSK"/>
      <w:noProof/>
      <w:spacing w:val="5"/>
      <w:kern w:val="28"/>
      <w:sz w:val="32"/>
      <w:szCs w:val="32"/>
    </w:rPr>
  </w:style>
  <w:style w:type="character" w:customStyle="1" w:styleId="TableChar">
    <w:name w:val="Table Char"/>
    <w:basedOn w:val="DefaultParagraphFont"/>
    <w:link w:val="Table"/>
    <w:rsid w:val="0055093B"/>
    <w:rPr>
      <w:rFonts w:ascii="TH SarabunPSK" w:eastAsia="Calibri" w:hAnsi="TH SarabunPSK" w:cs="TH SarabunPSK"/>
      <w:spacing w:val="5"/>
      <w:kern w:val="28"/>
      <w:sz w:val="32"/>
      <w:szCs w:val="32"/>
    </w:rPr>
  </w:style>
  <w:style w:type="character" w:customStyle="1" w:styleId="CAATFooterChar">
    <w:name w:val="CAAT Footer Char"/>
    <w:basedOn w:val="FooterChar"/>
    <w:link w:val="CAATFooter"/>
    <w:rsid w:val="006E6F28"/>
    <w:rPr>
      <w:rFonts w:ascii="TH SarabunPSK" w:hAnsi="TH SarabunPSK" w:cs="TH SarabunPSK"/>
      <w:noProof/>
      <w:spacing w:val="5"/>
      <w:kern w:val="28"/>
      <w:sz w:val="32"/>
      <w:szCs w:val="32"/>
    </w:rPr>
  </w:style>
  <w:style w:type="paragraph" w:customStyle="1" w:styleId="TableHeader">
    <w:name w:val="Table Header"/>
    <w:link w:val="TableHeaderChar"/>
    <w:qFormat/>
    <w:rsid w:val="002B1963"/>
    <w:pPr>
      <w:spacing w:before="60" w:after="120"/>
      <w:jc w:val="center"/>
    </w:pPr>
    <w:rPr>
      <w:rFonts w:ascii="TH SarabunPSK" w:eastAsia="Calibri" w:hAnsi="TH SarabunPSK" w:cs="TH SarabunPSK"/>
      <w:b/>
      <w:spacing w:val="5"/>
      <w:kern w:val="28"/>
      <w:sz w:val="32"/>
      <w:szCs w:val="32"/>
    </w:rPr>
  </w:style>
  <w:style w:type="paragraph" w:customStyle="1" w:styleId="Appendix">
    <w:name w:val="Appendix"/>
    <w:link w:val="AppendixChar"/>
    <w:qFormat/>
    <w:rsid w:val="0055564A"/>
    <w:rPr>
      <w:rFonts w:ascii="TH SarabunPSK" w:hAnsi="TH SarabunPSK" w:cs="TH SarabunPSK"/>
      <w:b/>
      <w:spacing w:val="5"/>
      <w:kern w:val="28"/>
      <w:sz w:val="56"/>
      <w:szCs w:val="32"/>
    </w:rPr>
  </w:style>
  <w:style w:type="character" w:customStyle="1" w:styleId="TableHeaderChar">
    <w:name w:val="Table Header Char"/>
    <w:basedOn w:val="TableChar"/>
    <w:link w:val="TableHeader"/>
    <w:rsid w:val="002B1963"/>
    <w:rPr>
      <w:rFonts w:ascii="TH SarabunPSK" w:eastAsia="Calibri" w:hAnsi="TH SarabunPSK" w:cs="TH SarabunPSK"/>
      <w:b/>
      <w:spacing w:val="5"/>
      <w:kern w:val="28"/>
      <w:sz w:val="32"/>
      <w:szCs w:val="32"/>
    </w:rPr>
  </w:style>
  <w:style w:type="character" w:customStyle="1" w:styleId="AppendixChar">
    <w:name w:val="Appendix Char"/>
    <w:basedOn w:val="DefaultParagraphFont"/>
    <w:link w:val="Appendix"/>
    <w:rsid w:val="0055564A"/>
    <w:rPr>
      <w:rFonts w:ascii="TH SarabunPSK" w:hAnsi="TH SarabunPSK" w:cs="TH SarabunPSK"/>
      <w:b/>
      <w:spacing w:val="5"/>
      <w:kern w:val="28"/>
      <w:sz w:val="56"/>
      <w:szCs w:val="32"/>
    </w:rPr>
  </w:style>
  <w:style w:type="paragraph" w:customStyle="1" w:styleId="Bullets">
    <w:name w:val="Bullets"/>
    <w:link w:val="BulletsChar"/>
    <w:qFormat/>
    <w:rsid w:val="00023486"/>
    <w:pPr>
      <w:numPr>
        <w:numId w:val="5"/>
      </w:numPr>
      <w:spacing w:before="120" w:after="120"/>
      <w:ind w:left="992" w:hanging="567"/>
    </w:pPr>
    <w:rPr>
      <w:rFonts w:ascii="TH SarabunPSK" w:hAnsi="TH SarabunPSK" w:cs="TH SarabunPSK"/>
      <w:spacing w:val="5"/>
      <w:kern w:val="28"/>
      <w:sz w:val="32"/>
      <w:szCs w:val="32"/>
    </w:rPr>
  </w:style>
  <w:style w:type="paragraph" w:customStyle="1" w:styleId="Dashed">
    <w:name w:val="Dashed"/>
    <w:link w:val="DashedChar"/>
    <w:qFormat/>
    <w:rsid w:val="00023486"/>
    <w:pPr>
      <w:numPr>
        <w:numId w:val="6"/>
      </w:numPr>
      <w:ind w:left="993" w:hanging="567"/>
    </w:pPr>
    <w:rPr>
      <w:rFonts w:ascii="TH SarabunPSK" w:hAnsi="TH SarabunPSK" w:cs="TH SarabunPSK"/>
      <w:spacing w:val="5"/>
      <w:kern w:val="28"/>
      <w:sz w:val="32"/>
      <w:szCs w:val="32"/>
    </w:rPr>
  </w:style>
  <w:style w:type="character" w:customStyle="1" w:styleId="BulletsChar">
    <w:name w:val="Bullets Char"/>
    <w:basedOn w:val="DefaultParagraphFont"/>
    <w:link w:val="Bullets"/>
    <w:rsid w:val="00023486"/>
    <w:rPr>
      <w:rFonts w:ascii="TH SarabunPSK" w:hAnsi="TH SarabunPSK" w:cs="TH SarabunPSK"/>
      <w:spacing w:val="5"/>
      <w:kern w:val="28"/>
      <w:sz w:val="32"/>
      <w:szCs w:val="32"/>
    </w:rPr>
  </w:style>
  <w:style w:type="paragraph" w:customStyle="1" w:styleId="Lista">
    <w:name w:val="List (a)"/>
    <w:link w:val="ListaChar"/>
    <w:qFormat/>
    <w:rsid w:val="00023486"/>
    <w:pPr>
      <w:numPr>
        <w:numId w:val="7"/>
      </w:numPr>
      <w:tabs>
        <w:tab w:val="left" w:pos="993"/>
      </w:tabs>
      <w:spacing w:before="120" w:after="120"/>
    </w:pPr>
    <w:rPr>
      <w:rFonts w:ascii="TH SarabunPSK" w:hAnsi="TH SarabunPSK" w:cs="TH SarabunPSK"/>
      <w:spacing w:val="5"/>
      <w:kern w:val="28"/>
      <w:sz w:val="32"/>
      <w:szCs w:val="32"/>
    </w:rPr>
  </w:style>
  <w:style w:type="character" w:customStyle="1" w:styleId="DashedChar">
    <w:name w:val="Dashed Char"/>
    <w:basedOn w:val="DefaultParagraphFont"/>
    <w:link w:val="Dashed"/>
    <w:rsid w:val="00023486"/>
    <w:rPr>
      <w:rFonts w:ascii="TH SarabunPSK" w:hAnsi="TH SarabunPSK" w:cs="TH SarabunPSK"/>
      <w:spacing w:val="5"/>
      <w:kern w:val="28"/>
      <w:sz w:val="32"/>
      <w:szCs w:val="32"/>
    </w:rPr>
  </w:style>
  <w:style w:type="paragraph" w:customStyle="1" w:styleId="List1">
    <w:name w:val="List (1)"/>
    <w:link w:val="List1Char"/>
    <w:qFormat/>
    <w:rsid w:val="00023486"/>
    <w:pPr>
      <w:numPr>
        <w:numId w:val="8"/>
      </w:numPr>
      <w:spacing w:before="120" w:after="120"/>
      <w:ind w:left="993" w:hanging="567"/>
    </w:pPr>
    <w:rPr>
      <w:rFonts w:ascii="TH SarabunPSK" w:hAnsi="TH SarabunPSK" w:cs="TH SarabunPSK"/>
      <w:spacing w:val="5"/>
      <w:kern w:val="28"/>
      <w:sz w:val="32"/>
      <w:szCs w:val="32"/>
    </w:rPr>
  </w:style>
  <w:style w:type="character" w:customStyle="1" w:styleId="ListaChar">
    <w:name w:val="List (a) Char"/>
    <w:basedOn w:val="DefaultParagraphFont"/>
    <w:link w:val="Lista"/>
    <w:rsid w:val="00023486"/>
    <w:rPr>
      <w:rFonts w:ascii="TH SarabunPSK" w:hAnsi="TH SarabunPSK" w:cs="TH SarabunPSK"/>
      <w:spacing w:val="5"/>
      <w:kern w:val="28"/>
      <w:sz w:val="32"/>
      <w:szCs w:val="32"/>
    </w:rPr>
  </w:style>
  <w:style w:type="character" w:customStyle="1" w:styleId="List1Char">
    <w:name w:val="List (1) Char"/>
    <w:basedOn w:val="DefaultParagraphFont"/>
    <w:link w:val="List1"/>
    <w:rsid w:val="00023486"/>
    <w:rPr>
      <w:rFonts w:ascii="TH SarabunPSK" w:hAnsi="TH SarabunPSK" w:cs="TH SarabunPSK"/>
      <w:spacing w:val="5"/>
      <w:kern w:val="28"/>
      <w:sz w:val="32"/>
      <w:szCs w:val="32"/>
    </w:rPr>
  </w:style>
  <w:style w:type="numbering" w:customStyle="1" w:styleId="Style1">
    <w:name w:val="Style1"/>
    <w:uiPriority w:val="99"/>
    <w:rsid w:val="00383F06"/>
    <w:pPr>
      <w:numPr>
        <w:numId w:val="9"/>
      </w:numPr>
    </w:pPr>
  </w:style>
  <w:style w:type="numbering" w:customStyle="1" w:styleId="Style9">
    <w:name w:val="Style9"/>
    <w:uiPriority w:val="99"/>
    <w:rsid w:val="00383F06"/>
    <w:pPr>
      <w:numPr>
        <w:numId w:val="10"/>
      </w:numPr>
    </w:pPr>
  </w:style>
  <w:style w:type="character" w:styleId="Emphasis">
    <w:name w:val="Emphasis"/>
    <w:basedOn w:val="DefaultParagraphFont"/>
    <w:uiPriority w:val="20"/>
    <w:qFormat/>
    <w:rsid w:val="00383F06"/>
    <w:rPr>
      <w:i/>
      <w:iCs/>
    </w:rPr>
  </w:style>
  <w:style w:type="paragraph" w:styleId="Revision">
    <w:name w:val="Revision"/>
    <w:hidden/>
    <w:uiPriority w:val="99"/>
    <w:semiHidden/>
    <w:rsid w:val="00060614"/>
    <w:rPr>
      <w:rFonts w:ascii="TH SarabunPSK" w:hAnsi="TH SarabunPSK" w:cs="Angsana New"/>
      <w:spacing w:val="5"/>
      <w:kern w:val="28"/>
      <w:sz w:val="32"/>
      <w:szCs w:val="40"/>
    </w:rPr>
  </w:style>
  <w:style w:type="character" w:customStyle="1" w:styleId="ListParagraphChar">
    <w:name w:val="List Paragraph Char"/>
    <w:aliases w:val="Bulleted List Paragraph Char"/>
    <w:basedOn w:val="DefaultParagraphFont"/>
    <w:link w:val="ListParagraph"/>
    <w:uiPriority w:val="1"/>
    <w:rsid w:val="007D4902"/>
    <w:rPr>
      <w:rFonts w:ascii="TH SarabunPSK" w:hAnsi="TH SarabunPSK" w:cs="TH SarabunPSK"/>
      <w:spacing w:val="5"/>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97">
      <w:bodyDiv w:val="1"/>
      <w:marLeft w:val="0"/>
      <w:marRight w:val="0"/>
      <w:marTop w:val="0"/>
      <w:marBottom w:val="0"/>
      <w:divBdr>
        <w:top w:val="none" w:sz="0" w:space="0" w:color="auto"/>
        <w:left w:val="none" w:sz="0" w:space="0" w:color="auto"/>
        <w:bottom w:val="none" w:sz="0" w:space="0" w:color="auto"/>
        <w:right w:val="none" w:sz="0" w:space="0" w:color="auto"/>
      </w:divBdr>
    </w:div>
    <w:div w:id="613950588">
      <w:bodyDiv w:val="1"/>
      <w:marLeft w:val="0"/>
      <w:marRight w:val="0"/>
      <w:marTop w:val="0"/>
      <w:marBottom w:val="0"/>
      <w:divBdr>
        <w:top w:val="none" w:sz="0" w:space="0" w:color="auto"/>
        <w:left w:val="none" w:sz="0" w:space="0" w:color="auto"/>
        <w:bottom w:val="none" w:sz="0" w:space="0" w:color="auto"/>
        <w:right w:val="none" w:sz="0" w:space="0" w:color="auto"/>
      </w:divBdr>
    </w:div>
    <w:div w:id="1082724903">
      <w:bodyDiv w:val="1"/>
      <w:marLeft w:val="0"/>
      <w:marRight w:val="0"/>
      <w:marTop w:val="0"/>
      <w:marBottom w:val="0"/>
      <w:divBdr>
        <w:top w:val="none" w:sz="0" w:space="0" w:color="auto"/>
        <w:left w:val="none" w:sz="0" w:space="0" w:color="auto"/>
        <w:bottom w:val="none" w:sz="0" w:space="0" w:color="auto"/>
        <w:right w:val="none" w:sz="0" w:space="0" w:color="auto"/>
      </w:divBdr>
    </w:div>
    <w:div w:id="152490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 Checklist Document" ma:contentTypeID="0x010100026BFE6A34D44FF09C8C098CCC1B744C002E2194BC8C7642AF86D2EE18A13CA9E800F4AFC1DB2018504C8D216365B6AF2366" ma:contentTypeVersion="6" ma:contentTypeDescription="Create a new document." ma:contentTypeScope="" ma:versionID="3b3086d9c856dd72d911ae1fc9ffcd1e">
  <xsd:schema xmlns:xsd="http://www.w3.org/2001/XMLSchema" xmlns:xs="http://www.w3.org/2001/XMLSchema" xmlns:p="http://schemas.microsoft.com/office/2006/metadata/properties" xmlns:ns2="9af2b4ea-97da-469a-ba3e-6b79464f1dbb" targetNamespace="http://schemas.microsoft.com/office/2006/metadata/properties" ma:root="true" ma:fieldsID="e893bbadd246d0d0089754f25add59a7" ns2:_="">
    <xsd:import namespace="9af2b4ea-97da-469a-ba3e-6b79464f1dbb"/>
    <xsd:element name="properties">
      <xsd:complexType>
        <xsd:sequence>
          <xsd:element name="documentManagement">
            <xsd:complexType>
              <xsd:all>
                <xsd:element ref="ns2:obd7f88e7c304967bb7efaedae455aad" minOccurs="0"/>
                <xsd:element ref="ns2:TaxCatchAll" minOccurs="0"/>
                <xsd:element ref="ns2:TaxCatchAllLabel" minOccurs="0"/>
                <xsd:element ref="ns2:md537954de5d4799b31f8b38caab65fb" minOccurs="0"/>
                <xsd:element ref="ns2:c0579850fabd4de2a8282f228563db32" minOccurs="0"/>
                <xsd:element ref="ns2:CAAIGTADocumentOwner" minOccurs="0"/>
                <xsd:element ref="ns2:CAAIGRevisionsIncluded" minOccurs="0"/>
                <xsd:element ref="ns2:i443abeee73d475d94c8cc81d6bbcae0" minOccurs="0"/>
                <xsd:element ref="ns2:n3fa915f42d84b78a09cbfcf4d5c81f7" minOccurs="0"/>
                <xsd:element ref="ns2:ce2dc96f2b2c4aa78236cbbe960267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b4ea-97da-469a-ba3e-6b79464f1dbb" elementFormDefault="qualified">
    <xsd:import namespace="http://schemas.microsoft.com/office/2006/documentManagement/types"/>
    <xsd:import namespace="http://schemas.microsoft.com/office/infopath/2007/PartnerControls"/>
    <xsd:element name="obd7f88e7c304967bb7efaedae455aad" ma:index="8" ma:taxonomy="true" ma:internalName="obd7f88e7c304967bb7efaedae455aad" ma:taxonomyFieldName="CAAContentGroup" ma:displayName="Content Group" ma:fieldId="{8bd7f88e-7c30-4967-bb7e-faedae455aad}" ma:sspId="32b1b85a-9065-498a-a715-2e842cb76486" ma:termSetId="078a1673-67d9-42ad-9a0e-7f45c535eef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8fac18-37bc-405a-8c1c-b9fa9e85b84e}" ma:internalName="TaxCatchAll" ma:showField="CatchAllData" ma:web="9af2b4ea-97da-469a-ba3e-6b79464f1db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8fac18-37bc-405a-8c1c-b9fa9e85b84e}" ma:internalName="TaxCatchAllLabel" ma:readOnly="true" ma:showField="CatchAllDataLabel" ma:web="9af2b4ea-97da-469a-ba3e-6b79464f1dbb">
      <xsd:complexType>
        <xsd:complexContent>
          <xsd:extension base="dms:MultiChoiceLookup">
            <xsd:sequence>
              <xsd:element name="Value" type="dms:Lookup" maxOccurs="unbounded" minOccurs="0" nillable="true"/>
            </xsd:sequence>
          </xsd:extension>
        </xsd:complexContent>
      </xsd:complexType>
    </xsd:element>
    <xsd:element name="md537954de5d4799b31f8b38caab65fb" ma:index="12" ma:taxonomy="true" ma:internalName="md537954de5d4799b31f8b38caab65fb" ma:taxonomyFieldName="CAABusinessFunctions" ma:displayName="Business Functions" ma:fieldId="{6d537954-de5d-4799-b31f-8b38caab65fb}" ma:taxonomyMulti="true" ma:sspId="32b1b85a-9065-498a-a715-2e842cb76486" ma:termSetId="cf28a2d6-8bcd-450b-a49a-65779e58cd06" ma:anchorId="00000000-0000-0000-0000-000000000000" ma:open="false" ma:isKeyword="false">
      <xsd:complexType>
        <xsd:sequence>
          <xsd:element ref="pc:Terms" minOccurs="0" maxOccurs="1"/>
        </xsd:sequence>
      </xsd:complexType>
    </xsd:element>
    <xsd:element name="c0579850fabd4de2a8282f228563db32" ma:index="14" ma:taxonomy="true" ma:internalName="c0579850fabd4de2a8282f228563db32" ma:taxonomyFieldName="CAADepartments" ma:displayName="Departments" ma:fieldId="{c0579850-fabd-4de2-a828-2f228563db32}" ma:taxonomyMulti="true" ma:sspId="32b1b85a-9065-498a-a715-2e842cb76486" ma:termSetId="059fbec2-a57e-4088-9445-44d85639509f" ma:anchorId="00000000-0000-0000-0000-000000000000" ma:open="false" ma:isKeyword="false">
      <xsd:complexType>
        <xsd:sequence>
          <xsd:element ref="pc:Terms" minOccurs="0" maxOccurs="1"/>
        </xsd:sequence>
      </xsd:complexType>
    </xsd:element>
    <xsd:element name="CAAIGTADocumentOwner" ma:index="16" nillable="true" ma:displayName="Document Owner" ma:internalName="CAAIGTADocumentOwner">
      <xsd:simpleType>
        <xsd:restriction base="dms:Text">
          <xsd:maxLength value="100"/>
        </xsd:restriction>
      </xsd:simpleType>
    </xsd:element>
    <xsd:element name="CAAIGRevisionsIncluded" ma:index="17" nillable="true" ma:displayName="Revisions Included" ma:internalName="CAAIGRevisionsIncluded">
      <xsd:simpleType>
        <xsd:restriction base="dms:Text">
          <xsd:maxLength value="100"/>
        </xsd:restriction>
      </xsd:simpleType>
    </xsd:element>
    <xsd:element name="i443abeee73d475d94c8cc81d6bbcae0" ma:index="18" nillable="true" ma:taxonomy="true" ma:internalName="i443abeee73d475d94c8cc81d6bbcae0" ma:taxonomyFieldName="CAAICAOAnnexes" ma:displayName="ICAO Annex" ma:fieldId="{2443abee-e73d-475d-94c8-cc81d6bbcae0}" ma:sspId="32b1b85a-9065-498a-a715-2e842cb76486" ma:termSetId="9e68914f-ac10-4627-aae1-0f4253ff903c" ma:anchorId="00000000-0000-0000-0000-000000000000" ma:open="false" ma:isKeyword="false">
      <xsd:complexType>
        <xsd:sequence>
          <xsd:element ref="pc:Terms" minOccurs="0" maxOccurs="1"/>
        </xsd:sequence>
      </xsd:complexType>
    </xsd:element>
    <xsd:element name="n3fa915f42d84b78a09cbfcf4d5c81f7" ma:index="20" nillable="true" ma:taxonomy="true" ma:internalName="n3fa915f42d84b78a09cbfcf4d5c81f7" ma:taxonomyFieldName="CAAIGTACountryName" ma:displayName="Country Name" ma:fieldId="{73fa915f-42d8-4b78-a09c-bfcf4d5c81f7}" ma:sspId="32b1b85a-9065-498a-a715-2e842cb76486" ma:termSetId="b4a1a8bb-9f84-4b7a-999e-69a03742f34c" ma:anchorId="00000000-0000-0000-0000-000000000000" ma:open="false" ma:isKeyword="false">
      <xsd:complexType>
        <xsd:sequence>
          <xsd:element ref="pc:Terms" minOccurs="0" maxOccurs="1"/>
        </xsd:sequence>
      </xsd:complexType>
    </xsd:element>
    <xsd:element name="ce2dc96f2b2c4aa78236cbbe9602676b" ma:index="22" nillable="true" ma:taxonomy="true" ma:internalName="ce2dc96f2b2c4aa78236cbbe9602676b" ma:taxonomyFieldName="CAAIGEASARegulationPart" ma:displayName="EASA Regulation Part" ma:fieldId="{ce2dc96f-2b2c-4aa7-8236-cbbe9602676b}" ma:sspId="32b1b85a-9065-498a-a715-2e842cb76486" ma:termSetId="51fe06da-84c3-44e7-86c4-903c538c6e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d537954de5d4799b31f8b38caab65fb xmlns="9af2b4ea-97da-469a-ba3e-6b79464f1dbb">
      <Terms xmlns="http://schemas.microsoft.com/office/infopath/2007/PartnerControls">
        <TermInfo xmlns="http://schemas.microsoft.com/office/infopath/2007/PartnerControls">
          <TermName xmlns="http://schemas.microsoft.com/office/infopath/2007/PartnerControls">Global Aviation Standards Improvement:International Strategy and Engagement</TermName>
          <TermId xmlns="http://schemas.microsoft.com/office/infopath/2007/PartnerControls">3f7d12aa-bf56-4a85-9277-b43574b9e734</TermId>
        </TermInfo>
      </Terms>
    </md537954de5d4799b31f8b38caab65fb>
    <CAAIGTADocumentOwner xmlns="9af2b4ea-97da-469a-ba3e-6b79464f1dbb">Phil Cropper</CAAIGTADocumentOwner>
    <n3fa915f42d84b78a09cbfcf4d5c81f7 xmlns="9af2b4ea-97da-469a-ba3e-6b79464f1dbb">
      <Terms xmlns="http://schemas.microsoft.com/office/infopath/2007/PartnerControls">
        <TermInfo xmlns="http://schemas.microsoft.com/office/infopath/2007/PartnerControls">
          <TermName xmlns="http://schemas.microsoft.com/office/infopath/2007/PartnerControls">Thailand</TermName>
          <TermId xmlns="http://schemas.microsoft.com/office/infopath/2007/PartnerControls">454075d3-1f51-4774-8913-057aac986357</TermId>
        </TermInfo>
      </Terms>
    </n3fa915f42d84b78a09cbfcf4d5c81f7>
    <i443abeee73d475d94c8cc81d6bbcae0 xmlns="9af2b4ea-97da-469a-ba3e-6b79464f1dbb">
      <Terms xmlns="http://schemas.microsoft.com/office/infopath/2007/PartnerControls">
        <TermInfo xmlns="http://schemas.microsoft.com/office/infopath/2007/PartnerControls">
          <TermName xmlns="http://schemas.microsoft.com/office/infopath/2007/PartnerControls">Personnel Licensing</TermName>
          <TermId xmlns="http://schemas.microsoft.com/office/infopath/2007/PartnerControls">bf8b4352-b2f1-493e-bf40-137d3bf39781</TermId>
        </TermInfo>
      </Terms>
    </i443abeee73d475d94c8cc81d6bbcae0>
    <obd7f88e7c304967bb7efaedae455aad xmlns="9af2b4ea-97da-469a-ba3e-6b79464f1dbb">
      <Terms xmlns="http://schemas.microsoft.com/office/infopath/2007/PartnerControls">
        <TermInfo xmlns="http://schemas.microsoft.com/office/infopath/2007/PartnerControls">
          <TermName xmlns="http://schemas.microsoft.com/office/infopath/2007/PartnerControls">Policy and Guidance</TermName>
          <TermId xmlns="http://schemas.microsoft.com/office/infopath/2007/PartnerControls">ce4e26e7-c185-45ff-ad41-f8f7f8dc5a4f</TermId>
        </TermInfo>
      </Terms>
    </obd7f88e7c304967bb7efaedae455aad>
    <c0579850fabd4de2a8282f228563db32 xmlns="9af2b4ea-97da-469a-ba3e-6b79464f1dbb">
      <Terms xmlns="http://schemas.microsoft.com/office/infopath/2007/PartnerControls">
        <TermInfo xmlns="http://schemas.microsoft.com/office/infopath/2007/PartnerControls">
          <TermName xmlns="http://schemas.microsoft.com/office/infopath/2007/PartnerControls">Chief Executive Office:International Group</TermName>
          <TermId xmlns="http://schemas.microsoft.com/office/infopath/2007/PartnerControls">b724591f-554a-43d1-98f0-0acb2146aefd</TermId>
        </TermInfo>
      </Terms>
    </c0579850fabd4de2a8282f228563db32>
    <CAAIGRevisionsIncluded xmlns="9af2b4ea-97da-469a-ba3e-6b79464f1dbb">v1.0 Final to CAAT</CAAIGRevisionsIncluded>
    <ce2dc96f2b2c4aa78236cbbe9602676b xmlns="9af2b4ea-97da-469a-ba3e-6b79464f1dbb">
      <Terms xmlns="http://schemas.microsoft.com/office/infopath/2007/PartnerControls">
        <TermInfo xmlns="http://schemas.microsoft.com/office/infopath/2007/PartnerControls">
          <TermName xmlns="http://schemas.microsoft.com/office/infopath/2007/PartnerControls">Part ATCO</TermName>
          <TermId xmlns="http://schemas.microsoft.com/office/infopath/2007/PartnerControls">0790ba06-a98e-4b6f-bdc5-92e2e0d43c94</TermId>
        </TermInfo>
      </Terms>
    </ce2dc96f2b2c4aa78236cbbe9602676b>
    <TaxCatchAll xmlns="9af2b4ea-97da-469a-ba3e-6b79464f1dbb">
      <Value>172</Value>
      <Value>206</Value>
      <Value>246</Value>
      <Value>177</Value>
      <Value>2</Value>
      <Value>1</Value>
    </TaxCatchAll>
  </documentManagement>
</p:properties>
</file>

<file path=customXml/itemProps1.xml><?xml version="1.0" encoding="utf-8"?>
<ds:datastoreItem xmlns:ds="http://schemas.openxmlformats.org/officeDocument/2006/customXml" ds:itemID="{1B021BF7-7E00-431F-A750-CD9178F06FF6}">
  <ds:schemaRefs>
    <ds:schemaRef ds:uri="http://schemas.openxmlformats.org/officeDocument/2006/bibliography"/>
  </ds:schemaRefs>
</ds:datastoreItem>
</file>

<file path=customXml/itemProps2.xml><?xml version="1.0" encoding="utf-8"?>
<ds:datastoreItem xmlns:ds="http://schemas.openxmlformats.org/officeDocument/2006/customXml" ds:itemID="{33E4E6EF-0D6D-488A-A2A7-F80B2311E549}">
  <ds:schemaRefs>
    <ds:schemaRef ds:uri="http://schemas.microsoft.com/sharepoint/v3/contenttype/forms"/>
  </ds:schemaRefs>
</ds:datastoreItem>
</file>

<file path=customXml/itemProps3.xml><?xml version="1.0" encoding="utf-8"?>
<ds:datastoreItem xmlns:ds="http://schemas.openxmlformats.org/officeDocument/2006/customXml" ds:itemID="{9BCEC888-B0D6-4DCD-AE21-6A7508B47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b4ea-97da-469a-ba3e-6b79464f1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E7135-2D2C-4F7B-9BDF-1C124E7EDCAF}">
  <ds:schemaRefs>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9af2b4ea-97da-469a-ba3e-6b79464f1db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Annex X to ATM-AC-PR-002 - Unit Competence Scheme and Continuation Training Checklist</vt:lpstr>
    </vt:vector>
  </TitlesOfParts>
  <Company>CAAT</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X to ATM-AC-PR-002 - Unit Competence Scheme and Continuation Training Checklist</dc:title>
  <dc:subject/>
  <dc:creator>Phil.Cropper@caa.co.uk</dc:creator>
  <cp:keywords/>
  <dc:description/>
  <cp:lastModifiedBy>Thanaphat Sumransilp</cp:lastModifiedBy>
  <cp:revision>19</cp:revision>
  <cp:lastPrinted>2024-05-08T07:56:00Z</cp:lastPrinted>
  <dcterms:created xsi:type="dcterms:W3CDTF">2020-04-23T09:37:00Z</dcterms:created>
  <dcterms:modified xsi:type="dcterms:W3CDTF">2024-05-08T07:56:00Z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sallyann.worthington@caa.co.uk</vt:lpwstr>
  </property>
  <property fmtid="{D5CDD505-2E9C-101B-9397-08002B2CF9AE}" pid="5" name="MSIP_Label_3196a3aa-34a9-4b82-9eed-745e5fc3f53e_SetDate">
    <vt:lpwstr>2020-02-27T09:02:33.6227517Z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Extended_MSFT_Method">
    <vt:lpwstr>Automatic</vt:lpwstr>
  </property>
  <property fmtid="{D5CDD505-2E9C-101B-9397-08002B2CF9AE}" pid="9" name="Sensitivity">
    <vt:lpwstr>Official</vt:lpwstr>
  </property>
  <property fmtid="{D5CDD505-2E9C-101B-9397-08002B2CF9AE}" pid="10" name="ContentTypeId">
    <vt:lpwstr>0x010100026BFE6A34D44FF09C8C098CCC1B744C002E2194BC8C7642AF86D2EE18A13CA9E800F4AFC1DB2018504C8D216365B6AF2366</vt:lpwstr>
  </property>
  <property fmtid="{D5CDD505-2E9C-101B-9397-08002B2CF9AE}" pid="11" name="CAAContentGroup">
    <vt:lpwstr>206;#Policy and Guidance|ce4e26e7-c185-45ff-ad41-f8f7f8dc5a4f</vt:lpwstr>
  </property>
  <property fmtid="{D5CDD505-2E9C-101B-9397-08002B2CF9AE}" pid="12" name="CAAIGEASARegulationPart">
    <vt:lpwstr>246;#Part ATCO|0790ba06-a98e-4b6f-bdc5-92e2e0d43c94</vt:lpwstr>
  </property>
  <property fmtid="{D5CDD505-2E9C-101B-9397-08002B2CF9AE}" pid="13" name="CAADepartments">
    <vt:lpwstr>1;#Chief Executive Office:International Group|b724591f-554a-43d1-98f0-0acb2146aefd</vt:lpwstr>
  </property>
  <property fmtid="{D5CDD505-2E9C-101B-9397-08002B2CF9AE}" pid="14" name="CAAIGTACountryName">
    <vt:lpwstr>177;#Thailand|454075d3-1f51-4774-8913-057aac986357</vt:lpwstr>
  </property>
  <property fmtid="{D5CDD505-2E9C-101B-9397-08002B2CF9AE}" pid="15" name="CAAICAOAnnexes">
    <vt:lpwstr>172;#Personnel Licensing|bf8b4352-b2f1-493e-bf40-137d3bf39781</vt:lpwstr>
  </property>
  <property fmtid="{D5CDD505-2E9C-101B-9397-08002B2CF9AE}" pid="16" name="CAABusinessFunctions">
    <vt:lpwstr>2;#Global Aviation Standards Improvement:International Strategy and Engagement|3f7d12aa-bf56-4a85-9277-b43574b9e734</vt:lpwstr>
  </property>
</Properties>
</file>